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EA68" w14:textId="77777777" w:rsidR="006909CE" w:rsidRDefault="006909CE" w:rsidP="006909CE">
      <w:pPr>
        <w:pStyle w:val="Heading3"/>
        <w:numPr>
          <w:ilvl w:val="0"/>
          <w:numId w:val="0"/>
        </w:numPr>
        <w:ind w:left="1418"/>
      </w:pPr>
      <w:r>
        <w:t>PRAKTISCHE ASPECTEN</w:t>
      </w:r>
    </w:p>
    <w:p w14:paraId="4F2F56DF" w14:textId="77777777" w:rsidR="006909CE" w:rsidRDefault="006909CE" w:rsidP="006909CE">
      <w:pPr>
        <w:rPr>
          <w:lang w:val="fr-FR"/>
        </w:rPr>
      </w:pPr>
    </w:p>
    <w:p w14:paraId="6624809A" w14:textId="56C19C94" w:rsidR="006909CE" w:rsidRDefault="006909CE" w:rsidP="006909CE">
      <w:pPr>
        <w:pStyle w:val="ListParagraphTIRET"/>
        <w:numPr>
          <w:ilvl w:val="0"/>
          <w:numId w:val="2"/>
        </w:numPr>
        <w:ind w:left="644"/>
        <w:rPr>
          <w:lang w:val="nl-BE"/>
        </w:rPr>
      </w:pPr>
      <w:r>
        <w:t xml:space="preserve">Hieronder vindt u een </w:t>
      </w:r>
      <w:r>
        <w:rPr>
          <w:b/>
        </w:rPr>
        <w:t>Nederlandse versie van de template</w:t>
      </w:r>
      <w:r>
        <w:t xml:space="preserve"> voor de bankgarantie of de garantie van een verbonden onderneming op basis van de werkingsregels (versie 1</w:t>
      </w:r>
      <w:r w:rsidR="00E85768" w:rsidRPr="00E85768">
        <w:rPr>
          <w:lang w:val="nl-BE"/>
        </w:rPr>
        <w:t>5</w:t>
      </w:r>
      <w:r>
        <w:t>/05/202</w:t>
      </w:r>
      <w:r w:rsidR="00E42D09">
        <w:t>5</w:t>
      </w:r>
      <w:r>
        <w:t xml:space="preserve">). </w:t>
      </w:r>
    </w:p>
    <w:p w14:paraId="21668637" w14:textId="77777777" w:rsidR="006909CE" w:rsidRDefault="006909CE" w:rsidP="006909CE">
      <w:pPr>
        <w:pStyle w:val="ListParagraphTIRET"/>
        <w:numPr>
          <w:ilvl w:val="0"/>
          <w:numId w:val="2"/>
        </w:numPr>
        <w:ind w:left="644"/>
      </w:pPr>
      <w:r>
        <w:t xml:space="preserve">Gelieve de </w:t>
      </w:r>
      <w:r>
        <w:rPr>
          <w:b/>
        </w:rPr>
        <w:t xml:space="preserve">originele versie van de garantie </w:t>
      </w:r>
      <w:r>
        <w:t xml:space="preserve">te sturen naar: </w:t>
      </w:r>
    </w:p>
    <w:p w14:paraId="75379F87" w14:textId="77777777" w:rsidR="006909CE" w:rsidRDefault="006909CE" w:rsidP="006909CE">
      <w:pPr>
        <w:pStyle w:val="ListParaSANSTIR"/>
        <w:ind w:left="644"/>
        <w:rPr>
          <w:i/>
          <w:lang w:val="en-US"/>
        </w:rPr>
      </w:pPr>
      <w:r>
        <w:rPr>
          <w:i/>
          <w:lang w:val="en-US"/>
        </w:rPr>
        <w:t>T.a.v. Nicolas Koelman (Key Account Manager Adequacy)</w:t>
      </w:r>
    </w:p>
    <w:p w14:paraId="71EFFD0B" w14:textId="77777777" w:rsidR="006909CE" w:rsidRDefault="006909CE" w:rsidP="006909CE">
      <w:pPr>
        <w:pStyle w:val="ListParaSANSTIR"/>
        <w:ind w:left="644"/>
        <w:rPr>
          <w:i/>
          <w:lang w:val="de-DE"/>
        </w:rPr>
      </w:pPr>
      <w:r>
        <w:rPr>
          <w:i/>
          <w:lang w:val="de-DE"/>
        </w:rPr>
        <w:t>Elia Transmission Belgium</w:t>
      </w:r>
    </w:p>
    <w:p w14:paraId="1ECB8AB4" w14:textId="77777777" w:rsidR="006909CE" w:rsidRDefault="006909CE" w:rsidP="006909CE">
      <w:pPr>
        <w:pStyle w:val="ListParaSANSTIR"/>
        <w:ind w:left="644"/>
        <w:rPr>
          <w:i/>
          <w:lang w:val="de-DE"/>
        </w:rPr>
      </w:pPr>
      <w:r>
        <w:rPr>
          <w:i/>
          <w:lang w:val="de-DE"/>
        </w:rPr>
        <w:t xml:space="preserve">Keizerslaan 20 </w:t>
      </w:r>
    </w:p>
    <w:p w14:paraId="0194F10A" w14:textId="77777777" w:rsidR="006909CE" w:rsidRDefault="006909CE" w:rsidP="006909CE">
      <w:pPr>
        <w:pStyle w:val="ListParaSANSTIR"/>
        <w:ind w:left="644"/>
        <w:rPr>
          <w:i/>
          <w:lang w:val="de-DE"/>
        </w:rPr>
      </w:pPr>
      <w:r>
        <w:rPr>
          <w:i/>
          <w:lang w:val="de-DE"/>
        </w:rPr>
        <w:t>1000 Brussel</w:t>
      </w:r>
    </w:p>
    <w:p w14:paraId="49EFB159" w14:textId="77777777" w:rsidR="006909CE" w:rsidRDefault="006909CE" w:rsidP="006909CE">
      <w:pPr>
        <w:pStyle w:val="ListParaSANSTIR"/>
        <w:ind w:left="644"/>
        <w:rPr>
          <w:i/>
          <w:lang w:val="de-DE"/>
        </w:rPr>
      </w:pPr>
      <w:r>
        <w:rPr>
          <w:i/>
          <w:lang w:val="de-DE"/>
        </w:rPr>
        <w:t>België</w:t>
      </w:r>
    </w:p>
    <w:p w14:paraId="0B737D53" w14:textId="77777777" w:rsidR="006909CE" w:rsidRDefault="006909CE" w:rsidP="006909CE">
      <w:pPr>
        <w:pStyle w:val="ListParagraphTIRET"/>
        <w:numPr>
          <w:ilvl w:val="0"/>
          <w:numId w:val="2"/>
        </w:numPr>
        <w:ind w:left="644"/>
        <w:rPr>
          <w:lang w:val="fr-BE"/>
        </w:rPr>
      </w:pPr>
      <w:r>
        <w:rPr>
          <w:b/>
        </w:rPr>
        <w:t>Vervaldatum</w:t>
      </w:r>
    </w:p>
    <w:p w14:paraId="689B9DDC" w14:textId="77777777" w:rsidR="006909CE" w:rsidRDefault="006909CE" w:rsidP="006909CE">
      <w:pPr>
        <w:pStyle w:val="ListParaSANSTIR"/>
        <w:ind w:left="568"/>
        <w:rPr>
          <w:lang w:val="nl-BE"/>
        </w:rPr>
      </w:pPr>
      <w:r>
        <w:t xml:space="preserve">In overeenstemming met de werkingsregels moeten de ingediende financiële garanties de volledige geldigheidsperiode dekken. </w:t>
      </w:r>
    </w:p>
    <w:p w14:paraId="3503F06B" w14:textId="42061BEF" w:rsidR="006909CE" w:rsidRDefault="006909CE" w:rsidP="006909CE">
      <w:pPr>
        <w:pStyle w:val="ListParaSANSTIR"/>
        <w:ind w:left="568"/>
      </w:pPr>
      <w:r>
        <w:t>Het einde van de geldigheidsperiode voor de Y-4 veiling voor de periode van capaciteitslevering die start op 1 november 202</w:t>
      </w:r>
      <w:r w:rsidR="006456BA">
        <w:rPr>
          <w:lang w:val="nl-BE"/>
        </w:rPr>
        <w:t>9</w:t>
      </w:r>
      <w:r>
        <w:t xml:space="preserve"> is:</w:t>
      </w:r>
    </w:p>
    <w:p w14:paraId="732AF722" w14:textId="4786D7E5" w:rsidR="006909CE" w:rsidRDefault="006909CE" w:rsidP="006909CE">
      <w:pPr>
        <w:pStyle w:val="ListParaSANSTIR"/>
        <w:numPr>
          <w:ilvl w:val="0"/>
          <w:numId w:val="3"/>
        </w:numPr>
        <w:rPr>
          <w:lang w:val="fr-FR"/>
        </w:rPr>
      </w:pPr>
      <w:r>
        <w:rPr>
          <w:lang w:val="fr-FR"/>
        </w:rPr>
        <w:t xml:space="preserve">Voor een bestaande CMU : </w:t>
      </w:r>
      <w:r w:rsidR="000E3DCC">
        <w:rPr>
          <w:lang w:val="fr-FR"/>
        </w:rPr>
        <w:t>2</w:t>
      </w:r>
      <w:r w:rsidR="001C4868">
        <w:rPr>
          <w:lang w:val="fr-FR"/>
        </w:rPr>
        <w:t>1</w:t>
      </w:r>
      <w:r>
        <w:rPr>
          <w:lang w:val="fr-FR"/>
        </w:rPr>
        <w:t>/10/20</w:t>
      </w:r>
      <w:r w:rsidR="001C4868">
        <w:rPr>
          <w:lang w:val="fr-FR"/>
        </w:rPr>
        <w:t>30</w:t>
      </w:r>
    </w:p>
    <w:p w14:paraId="5257D161" w14:textId="22DB6AA2" w:rsidR="006909CE" w:rsidRDefault="006909CE" w:rsidP="006909CE">
      <w:pPr>
        <w:pStyle w:val="ListParaSANSTIR"/>
        <w:numPr>
          <w:ilvl w:val="0"/>
          <w:numId w:val="3"/>
        </w:numPr>
        <w:rPr>
          <w:lang w:val="fr-FR"/>
        </w:rPr>
      </w:pPr>
      <w:r>
        <w:rPr>
          <w:lang w:val="fr-FR"/>
        </w:rPr>
        <w:t>Voor een additionele CMU : 1</w:t>
      </w:r>
      <w:r w:rsidR="005D459E">
        <w:rPr>
          <w:lang w:val="fr-FR"/>
        </w:rPr>
        <w:t>8</w:t>
      </w:r>
      <w:r>
        <w:rPr>
          <w:lang w:val="fr-FR"/>
        </w:rPr>
        <w:t>/11/20</w:t>
      </w:r>
      <w:r w:rsidR="001C4868">
        <w:rPr>
          <w:lang w:val="fr-FR"/>
        </w:rPr>
        <w:t>30</w:t>
      </w:r>
    </w:p>
    <w:p w14:paraId="0E086429" w14:textId="69C16AEE" w:rsidR="006909CE" w:rsidRDefault="006909CE" w:rsidP="006909CE">
      <w:pPr>
        <w:pStyle w:val="ListParaSANSTIR"/>
        <w:numPr>
          <w:ilvl w:val="0"/>
          <w:numId w:val="3"/>
        </w:numPr>
        <w:rPr>
          <w:lang w:val="fr-FR"/>
        </w:rPr>
      </w:pPr>
      <w:r>
        <w:rPr>
          <w:lang w:val="fr-FR"/>
        </w:rPr>
        <w:t>Voor een virtuele CMU : 1</w:t>
      </w:r>
      <w:r w:rsidR="005D459E">
        <w:rPr>
          <w:lang w:val="fr-FR"/>
        </w:rPr>
        <w:t>8</w:t>
      </w:r>
      <w:r>
        <w:rPr>
          <w:lang w:val="fr-FR"/>
        </w:rPr>
        <w:t>/11/20</w:t>
      </w:r>
      <w:r w:rsidR="001C4868">
        <w:rPr>
          <w:lang w:val="fr-FR"/>
        </w:rPr>
        <w:t>30</w:t>
      </w:r>
    </w:p>
    <w:p w14:paraId="75BF0EEB" w14:textId="77777777" w:rsidR="00420D39" w:rsidRDefault="00420D39" w:rsidP="00420D39">
      <w:pPr>
        <w:pStyle w:val="ListParaSANSTIR"/>
        <w:rPr>
          <w:lang w:val="fr-FR"/>
        </w:rPr>
      </w:pPr>
    </w:p>
    <w:p w14:paraId="79F8AA68" w14:textId="45A2DF38" w:rsidR="00A072A6" w:rsidRDefault="00A072A6" w:rsidP="00A072A6">
      <w:pPr>
        <w:pStyle w:val="ListParaSANSTIR"/>
        <w:ind w:left="568"/>
      </w:pPr>
      <w:r>
        <w:t>Het einde van de geldigheidsperiode voor de Y-2 veiling voor de periode van capaciteitslevering die start op 1 november 202</w:t>
      </w:r>
      <w:r w:rsidR="003A413E">
        <w:rPr>
          <w:lang w:val="nl-BE"/>
        </w:rPr>
        <w:t>7</w:t>
      </w:r>
      <w:r>
        <w:t xml:space="preserve"> is:</w:t>
      </w:r>
    </w:p>
    <w:p w14:paraId="53AE59A2" w14:textId="313C8BEF" w:rsidR="00A072A6" w:rsidRDefault="00A072A6" w:rsidP="00A072A6">
      <w:pPr>
        <w:pStyle w:val="ListParaSANSTIR"/>
        <w:numPr>
          <w:ilvl w:val="0"/>
          <w:numId w:val="3"/>
        </w:numPr>
        <w:rPr>
          <w:lang w:val="fr-FR"/>
        </w:rPr>
      </w:pPr>
      <w:r>
        <w:rPr>
          <w:lang w:val="fr-FR"/>
        </w:rPr>
        <w:t>Voor een bestaande CMU : 2</w:t>
      </w:r>
      <w:r w:rsidR="00C85DA3">
        <w:rPr>
          <w:lang w:val="fr-FR"/>
        </w:rPr>
        <w:t>4</w:t>
      </w:r>
      <w:r>
        <w:rPr>
          <w:lang w:val="fr-FR"/>
        </w:rPr>
        <w:t>/10/2028</w:t>
      </w:r>
    </w:p>
    <w:p w14:paraId="62B16D72" w14:textId="7B871B07" w:rsidR="00A072A6" w:rsidRDefault="00A072A6" w:rsidP="00A072A6">
      <w:pPr>
        <w:pStyle w:val="ListParaSANSTIR"/>
        <w:numPr>
          <w:ilvl w:val="0"/>
          <w:numId w:val="3"/>
        </w:numPr>
        <w:rPr>
          <w:lang w:val="fr-FR"/>
        </w:rPr>
      </w:pPr>
      <w:r>
        <w:rPr>
          <w:lang w:val="fr-FR"/>
        </w:rPr>
        <w:t>Voor een additionele CMU : 15/11/2028</w:t>
      </w:r>
    </w:p>
    <w:p w14:paraId="40B61099" w14:textId="43402013" w:rsidR="00A072A6" w:rsidRPr="00A072A6" w:rsidRDefault="00A072A6" w:rsidP="00A072A6">
      <w:pPr>
        <w:pStyle w:val="ListParaSANSTIR"/>
        <w:numPr>
          <w:ilvl w:val="0"/>
          <w:numId w:val="3"/>
        </w:numPr>
        <w:rPr>
          <w:lang w:val="fr-FR"/>
        </w:rPr>
      </w:pPr>
      <w:r>
        <w:rPr>
          <w:lang w:val="fr-FR"/>
        </w:rPr>
        <w:t>Voor een virtuele CMU : 15/11/2028</w:t>
      </w:r>
    </w:p>
    <w:p w14:paraId="6C5AFF15" w14:textId="77777777" w:rsidR="00A072A6" w:rsidRDefault="00A072A6" w:rsidP="00420D39">
      <w:pPr>
        <w:pStyle w:val="ListParaSANSTIR"/>
        <w:rPr>
          <w:lang w:val="fr-FR"/>
        </w:rPr>
      </w:pPr>
    </w:p>
    <w:p w14:paraId="7E97A600" w14:textId="32152894" w:rsidR="00420D39" w:rsidRDefault="00420D39" w:rsidP="00420D39">
      <w:pPr>
        <w:pStyle w:val="ListParaSANSTIR"/>
        <w:ind w:left="568"/>
      </w:pPr>
      <w:r>
        <w:t>Het einde van de geldigheidsperiode voor de Y-</w:t>
      </w:r>
      <w:r w:rsidRPr="00420D39">
        <w:rPr>
          <w:lang w:val="nl-BE"/>
        </w:rPr>
        <w:t>1</w:t>
      </w:r>
      <w:r>
        <w:t xml:space="preserve"> veiling voor de periode van capaciteitslevering die start op 1 november 202</w:t>
      </w:r>
      <w:r w:rsidR="006456BA">
        <w:rPr>
          <w:lang w:val="nl-BE"/>
        </w:rPr>
        <w:t>6</w:t>
      </w:r>
      <w:r>
        <w:t xml:space="preserve"> is:</w:t>
      </w:r>
    </w:p>
    <w:p w14:paraId="1AC8588C" w14:textId="4465EBE8" w:rsidR="00420D39" w:rsidRDefault="00420D39" w:rsidP="00420D39">
      <w:pPr>
        <w:pStyle w:val="ListParaSANSTIR"/>
        <w:numPr>
          <w:ilvl w:val="0"/>
          <w:numId w:val="3"/>
        </w:numPr>
        <w:rPr>
          <w:lang w:val="fr-FR"/>
        </w:rPr>
      </w:pPr>
      <w:r>
        <w:rPr>
          <w:lang w:val="fr-FR"/>
        </w:rPr>
        <w:t xml:space="preserve">Voor een bestaande CMU : </w:t>
      </w:r>
      <w:r w:rsidR="00A2576C">
        <w:rPr>
          <w:lang w:val="fr-FR"/>
        </w:rPr>
        <w:t>2</w:t>
      </w:r>
      <w:r w:rsidR="000E3DCC">
        <w:rPr>
          <w:lang w:val="fr-FR"/>
        </w:rPr>
        <w:t>1</w:t>
      </w:r>
      <w:r>
        <w:rPr>
          <w:lang w:val="fr-FR"/>
        </w:rPr>
        <w:t>/10/202</w:t>
      </w:r>
      <w:r w:rsidR="001C4868">
        <w:rPr>
          <w:lang w:val="fr-FR"/>
        </w:rPr>
        <w:t>7</w:t>
      </w:r>
    </w:p>
    <w:p w14:paraId="12F9A0CB" w14:textId="1D9339ED" w:rsidR="00420D39" w:rsidRDefault="00420D39" w:rsidP="00420D39">
      <w:pPr>
        <w:pStyle w:val="ListParaSANSTIR"/>
        <w:numPr>
          <w:ilvl w:val="0"/>
          <w:numId w:val="3"/>
        </w:numPr>
        <w:rPr>
          <w:lang w:val="fr-FR"/>
        </w:rPr>
      </w:pPr>
      <w:r>
        <w:rPr>
          <w:lang w:val="fr-FR"/>
        </w:rPr>
        <w:t>Voor een additionele CMU : 1</w:t>
      </w:r>
      <w:r w:rsidR="005D459E">
        <w:rPr>
          <w:lang w:val="fr-FR"/>
        </w:rPr>
        <w:t>6</w:t>
      </w:r>
      <w:r>
        <w:rPr>
          <w:lang w:val="fr-FR"/>
        </w:rPr>
        <w:t>/11/202</w:t>
      </w:r>
      <w:r w:rsidR="001C4868">
        <w:rPr>
          <w:lang w:val="fr-FR"/>
        </w:rPr>
        <w:t>7</w:t>
      </w:r>
    </w:p>
    <w:p w14:paraId="0D9A4C7D" w14:textId="16801DED" w:rsidR="00420D39" w:rsidRDefault="00420D39" w:rsidP="00420D39">
      <w:pPr>
        <w:pStyle w:val="ListParaSANSTIR"/>
        <w:numPr>
          <w:ilvl w:val="0"/>
          <w:numId w:val="3"/>
        </w:numPr>
        <w:rPr>
          <w:lang w:val="fr-FR"/>
        </w:rPr>
      </w:pPr>
      <w:r>
        <w:rPr>
          <w:lang w:val="fr-FR"/>
        </w:rPr>
        <w:t>Voor een virtuele CMU : 1</w:t>
      </w:r>
      <w:r w:rsidR="005D459E">
        <w:rPr>
          <w:lang w:val="fr-FR"/>
        </w:rPr>
        <w:t>6</w:t>
      </w:r>
      <w:r>
        <w:rPr>
          <w:lang w:val="fr-FR"/>
        </w:rPr>
        <w:t>/11/202</w:t>
      </w:r>
      <w:r w:rsidR="001C4868">
        <w:rPr>
          <w:lang w:val="fr-FR"/>
        </w:rPr>
        <w:t>7</w:t>
      </w:r>
    </w:p>
    <w:p w14:paraId="12771CC6" w14:textId="30ABF43A" w:rsidR="006F7C89" w:rsidRDefault="006F7C89">
      <w:pPr>
        <w:widowControl/>
        <w:autoSpaceDE/>
        <w:autoSpaceDN/>
        <w:adjustRightInd/>
        <w:spacing w:after="160" w:line="259" w:lineRule="auto"/>
        <w:rPr>
          <w:rFonts w:ascii="Verdana" w:eastAsia="Arial" w:hAnsi="Verdana"/>
          <w:kern w:val="2"/>
          <w:sz w:val="18"/>
          <w:lang w:val="fr-FR"/>
          <w14:ligatures w14:val="standardContextual"/>
        </w:rPr>
      </w:pPr>
      <w:r>
        <w:rPr>
          <w:lang w:val="fr-FR"/>
        </w:rPr>
        <w:br w:type="page"/>
      </w:r>
    </w:p>
    <w:p w14:paraId="4CE110C1" w14:textId="77777777" w:rsidR="006F7C89" w:rsidRPr="00394F75" w:rsidRDefault="006F7C89" w:rsidP="006F7C89">
      <w:pPr>
        <w:pStyle w:val="Heading3"/>
        <w:numPr>
          <w:ilvl w:val="0"/>
          <w:numId w:val="0"/>
        </w:numPr>
        <w:ind w:left="720" w:hanging="720"/>
      </w:pPr>
      <w:bookmarkStart w:id="0" w:name="_Toc122529427"/>
      <w:bookmarkStart w:id="1" w:name="_Toc121813051"/>
      <w:bookmarkStart w:id="2" w:name="_Toc104835833"/>
      <w:bookmarkStart w:id="3" w:name="_Toc117605689"/>
      <w:bookmarkStart w:id="4" w:name="_Toc117604181"/>
      <w:bookmarkStart w:id="5" w:name="_Toc117602834"/>
      <w:bookmarkStart w:id="6" w:name="_Toc94546283"/>
      <w:bookmarkStart w:id="7" w:name="_Ref50024176"/>
      <w:bookmarkStart w:id="8" w:name="_Toc165650600"/>
      <w:r>
        <w:lastRenderedPageBreak/>
        <w:t>BIJLAGE E.1: STANDAARDFORMULIER BANKGARANTIE VOOR DE WERKINGSREGELS [•]</w:t>
      </w:r>
      <w:bookmarkEnd w:id="0"/>
      <w:bookmarkEnd w:id="1"/>
      <w:bookmarkEnd w:id="2"/>
      <w:bookmarkEnd w:id="3"/>
      <w:bookmarkEnd w:id="4"/>
      <w:bookmarkEnd w:id="5"/>
      <w:bookmarkEnd w:id="6"/>
      <w:bookmarkEnd w:id="7"/>
      <w:bookmarkEnd w:id="8"/>
    </w:p>
    <w:p w14:paraId="714C9C8B" w14:textId="77777777" w:rsidR="006F7C89" w:rsidRPr="001C4E9D" w:rsidRDefault="006F7C89" w:rsidP="006F7C89">
      <w:pPr>
        <w:pStyle w:val="francasansnum"/>
      </w:pPr>
      <w:r>
        <w:t xml:space="preserve">Bankgarantie op eerste verzoek uitgegeven door </w:t>
      </w:r>
      <w:r>
        <w:rPr>
          <w:b/>
          <w:bCs/>
        </w:rPr>
        <w:t xml:space="preserve">[•] </w:t>
      </w:r>
      <w:r>
        <w:t xml:space="preserve">ten gunste van: </w:t>
      </w:r>
      <w:r>
        <w:rPr>
          <w:b/>
          <w:bCs/>
        </w:rPr>
        <w:t>[•] (ELIA Transmission Belgium NV/SA)</w:t>
      </w:r>
      <w:r>
        <w:t>, hierna de Begunstigde genoemd, in het kader van het Capaciteitsvergoedingsmechanisme dat is ingevoerd volgens artikel 7</w:t>
      </w:r>
      <w:r w:rsidRPr="008D0A94">
        <w:rPr>
          <w:i/>
        </w:rPr>
        <w:t>undecies</w:t>
      </w:r>
      <w:r>
        <w:t xml:space="preserve"> van de Belgische wet van 29 april 1999 betreffende de organisatie van de elektriciteitsmarkt (hierna de Elektriciteitswet genoemd). </w:t>
      </w:r>
    </w:p>
    <w:p w14:paraId="231E77EF" w14:textId="77777777" w:rsidR="006F7C89" w:rsidRPr="001C4E9D" w:rsidRDefault="006F7C89" w:rsidP="006F7C89">
      <w:pPr>
        <w:pStyle w:val="francasansnum"/>
      </w:pPr>
      <w:r>
        <w:t xml:space="preserve">Onze betalingsgarantiekenmerken: </w:t>
      </w:r>
      <w:r>
        <w:rPr>
          <w:b/>
          <w:bCs/>
        </w:rPr>
        <w:t>[•] (in te vullen door de financiële instelling)</w:t>
      </w:r>
      <w:r>
        <w:t xml:space="preserve"> (te vermelden in al uw correspondentie). </w:t>
      </w:r>
    </w:p>
    <w:p w14:paraId="62EBD3FA" w14:textId="77777777" w:rsidR="006F7C89" w:rsidRPr="001C4E9D" w:rsidRDefault="006F7C89" w:rsidP="006F7C89">
      <w:pPr>
        <w:pStyle w:val="francasansnum"/>
      </w:pPr>
      <w:r>
        <w:t>(Kies een van de drie onderstaande paragrafen: de eerste paragraaf is van toepassing op een Transactie op de Primaire en/of Secundaire Markt in het algemeen, de tweede paragraaf is alleen van toepassing op (een) Transactie(s) op de Primaire Markt, de derde paragraaf is alleen van toepassing op (een) transactie(s) op de Secundaire Markt).</w:t>
      </w:r>
    </w:p>
    <w:p w14:paraId="0C301AF4" w14:textId="77777777" w:rsidR="006F7C89" w:rsidRPr="001C4E9D" w:rsidRDefault="006F7C89" w:rsidP="006F7C89">
      <w:pPr>
        <w:pStyle w:val="francasansnum"/>
      </w:pPr>
      <w:r>
        <w:rPr>
          <w:b/>
          <w:bCs/>
        </w:rPr>
        <w:t>[</w:t>
      </w:r>
      <w:r>
        <w:t xml:space="preserve">Onze klant </w:t>
      </w:r>
      <w:r>
        <w:rPr>
          <w:b/>
          <w:bCs/>
        </w:rPr>
        <w:t>[•]</w:t>
      </w:r>
      <w:r>
        <w:t xml:space="preserve"> </w:t>
      </w:r>
      <w:r>
        <w:rPr>
          <w:b/>
          <w:bCs/>
        </w:rPr>
        <w:t xml:space="preserve">(naam van de CRM-Actor) </w:t>
      </w:r>
      <w:r>
        <w:t xml:space="preserve">deelt ons mee dat hij (een) Prekwalificatiedossier(s) zal indienen/heeft ingediend bij ELIA Transmission Belgium NV/SA voor de CMU(s) met identificatienummer </w:t>
      </w:r>
      <w:r>
        <w:rPr>
          <w:b/>
          <w:bCs/>
        </w:rPr>
        <w:t>[•]</w:t>
      </w:r>
      <w:r>
        <w:t xml:space="preserve"> (</w:t>
      </w:r>
      <w:r>
        <w:rPr>
          <w:b/>
          <w:bCs/>
        </w:rPr>
        <w:t xml:space="preserve">identificatienummer(s) van de Eenheid(Eenheden) in de Capaciteitsmarkt) </w:t>
      </w:r>
      <w:r>
        <w:t>met betrekking tot de in artikel 7</w:t>
      </w:r>
      <w:r w:rsidRPr="008D0A94">
        <w:rPr>
          <w:i/>
        </w:rPr>
        <w:t>undecies</w:t>
      </w:r>
      <w:r>
        <w:t xml:space="preserve"> van de Elektriciteitswet bedoelde Werkingsregels</w:t>
      </w:r>
      <w:r>
        <w:rPr>
          <w:vertAlign w:val="superscript"/>
        </w:rPr>
        <w:footnoteReference w:id="2"/>
      </w:r>
      <w:r>
        <w:t>, waarmee hij de intentie heeft om deel te nemen aan de Primaire of Secundaire Markt.</w:t>
      </w:r>
      <w:r>
        <w:rPr>
          <w:b/>
          <w:bCs/>
        </w:rPr>
        <w:t>]</w:t>
      </w:r>
      <w:r>
        <w:t xml:space="preserve"> </w:t>
      </w:r>
    </w:p>
    <w:p w14:paraId="2C86C328" w14:textId="77777777" w:rsidR="006F7C89" w:rsidRPr="00872048" w:rsidRDefault="006F7C89" w:rsidP="006F7C89">
      <w:pPr>
        <w:pStyle w:val="francasansnum"/>
      </w:pPr>
      <w:r>
        <w:rPr>
          <w:b/>
          <w:bCs/>
          <w:i/>
          <w:iCs/>
        </w:rPr>
        <w:t>OF:</w:t>
      </w:r>
      <w:r>
        <w:t xml:space="preserve"> </w:t>
      </w:r>
      <w:r>
        <w:rPr>
          <w:b/>
          <w:bCs/>
        </w:rPr>
        <w:t>[</w:t>
      </w:r>
      <w:r>
        <w:t xml:space="preserve">Onze klant </w:t>
      </w:r>
      <w:r>
        <w:rPr>
          <w:b/>
          <w:bCs/>
        </w:rPr>
        <w:t xml:space="preserve">[•] (naam van de CRM-Actor) </w:t>
      </w:r>
      <w:r>
        <w:t xml:space="preserve">deelt ons mee dat hij op datum van </w:t>
      </w:r>
      <w:r>
        <w:rPr>
          <w:b/>
          <w:bCs/>
        </w:rPr>
        <w:t>[•] (datum van de geplande indiening van het Prekwalificatiedossier)</w:t>
      </w:r>
      <w:r>
        <w:t xml:space="preserve"> (een) Prekwalificatiedossier(s) heeft ingediend/zal indienen bij </w:t>
      </w:r>
      <w:r w:rsidRPr="00992729">
        <w:t>ELIA Transmission Belgium NV/SA</w:t>
      </w:r>
      <w:r>
        <w:t xml:space="preserve"> voor de CMU(s) met identificatienummer(s) </w:t>
      </w:r>
      <w:r>
        <w:rPr>
          <w:b/>
          <w:bCs/>
        </w:rPr>
        <w:t xml:space="preserve">[•] (Identificatienummers van Eenheid(Eenheden) in de Capaciteitsmarkt) </w:t>
      </w:r>
      <w:r>
        <w:t>met betrekking tot de in artikel 7</w:t>
      </w:r>
      <w:r w:rsidRPr="008D0A94">
        <w:rPr>
          <w:i/>
        </w:rPr>
        <w:t>undecies</w:t>
      </w:r>
      <w:r>
        <w:t xml:space="preserve"> van de Elektriciteitswet bedoelde Werkingsregels, waarmee hij de intentie heeft om (een) bod(biedingen) uit te brengen in de Veiling(en) later dit jaar</w:t>
      </w:r>
      <w:r w:rsidRPr="00992729">
        <w:rPr>
          <w:b/>
          <w:bCs/>
        </w:rPr>
        <w:t>]</w:t>
      </w:r>
    </w:p>
    <w:p w14:paraId="48F99811" w14:textId="77777777" w:rsidR="006F7C89" w:rsidRPr="001C4E9D" w:rsidRDefault="006F7C89" w:rsidP="006F7C89">
      <w:pPr>
        <w:pStyle w:val="francasansnum"/>
      </w:pPr>
      <w:r>
        <w:rPr>
          <w:b/>
          <w:bCs/>
          <w:i/>
          <w:iCs/>
        </w:rPr>
        <w:t>OF:</w:t>
      </w:r>
      <w:r>
        <w:t xml:space="preserve"> </w:t>
      </w:r>
      <w:r>
        <w:rPr>
          <w:b/>
          <w:bCs/>
        </w:rPr>
        <w:t>[</w:t>
      </w:r>
      <w:r>
        <w:t xml:space="preserve">Onze klant </w:t>
      </w:r>
      <w:r>
        <w:rPr>
          <w:b/>
          <w:bCs/>
        </w:rPr>
        <w:t xml:space="preserve">[•] (naam van de CRM-Actor) </w:t>
      </w:r>
      <w:r>
        <w:t xml:space="preserve">deelt ons mee dat hij ELIA Transmission Belgium NV/SA kennis zal geven van een transactie op de Secundaire Markt voor de CMU met identificatienummer </w:t>
      </w:r>
      <w:r>
        <w:rPr>
          <w:b/>
          <w:bCs/>
        </w:rPr>
        <w:t xml:space="preserve">[•] (identificatienummer van de Eenheid in de Capaciteitsmarkt) </w:t>
      </w:r>
      <w:r>
        <w:t>met betrekking tot de in artikel 7</w:t>
      </w:r>
      <w:r w:rsidRPr="008D0A94">
        <w:rPr>
          <w:i/>
        </w:rPr>
        <w:t>undecies</w:t>
      </w:r>
      <w:r>
        <w:t xml:space="preserve"> van de Elektriciteitswet bedoelde Werkingsregels.</w:t>
      </w:r>
      <w:r>
        <w:rPr>
          <w:b/>
          <w:bCs/>
        </w:rPr>
        <w:t>]</w:t>
      </w:r>
      <w:r>
        <w:t xml:space="preserve"> </w:t>
      </w:r>
    </w:p>
    <w:p w14:paraId="2A4BA968" w14:textId="77777777" w:rsidR="006F7C89" w:rsidRPr="001C4E9D" w:rsidRDefault="006F7C89" w:rsidP="006F7C89">
      <w:pPr>
        <w:pStyle w:val="francasansnum"/>
      </w:pPr>
      <w:r>
        <w:t xml:space="preserve">De voorwaarden van de Werkingsregels voorzien in de uitgifte van een onherroepelijke bankgarantie betaalbaar op eerste verzoek voor een bedrag ten belope van </w:t>
      </w:r>
      <w:r>
        <w:rPr>
          <w:b/>
          <w:bCs/>
        </w:rPr>
        <w:t>[•] (in euro en bedrag in cijfers en letters)</w:t>
      </w:r>
      <w:r>
        <w:t xml:space="preserve"> als waarborg voor de vereiste en stipte naleving door onze verbonden onderneming van diens verplichtingen met betrekking tot de pre-leveringscontroleprocessen (met inbegrip van de ondertekening van het Capaciteitscontract) met betrekking tot de CMU </w:t>
      </w:r>
      <w:r>
        <w:rPr>
          <w:b/>
          <w:bCs/>
        </w:rPr>
        <w:t>[</w:t>
      </w:r>
      <w:r>
        <w:t>of, in voorkomend geval, (een) toekomstige CMU('s) van onze verbonden onderneming waaraan de verplichtingen van een Virtuele CMU worden overgedragen</w:t>
      </w:r>
      <w:r>
        <w:rPr>
          <w:b/>
          <w:bCs/>
        </w:rPr>
        <w:t>]</w:t>
      </w:r>
      <w:r>
        <w:t xml:space="preserve"> </w:t>
      </w:r>
      <w:r>
        <w:rPr>
          <w:b/>
          <w:bCs/>
        </w:rPr>
        <w:t>(toe te voegen voor een Virtuele CMU)</w:t>
      </w:r>
      <w:r>
        <w:t xml:space="preserve">. </w:t>
      </w:r>
    </w:p>
    <w:p w14:paraId="33AEBD78" w14:textId="77777777" w:rsidR="006F7C89" w:rsidRPr="001C4E9D" w:rsidRDefault="006F7C89" w:rsidP="006F7C89">
      <w:pPr>
        <w:pStyle w:val="francasansnum"/>
      </w:pPr>
      <w:r>
        <w:t xml:space="preserve">Bijgevolg garanderen wij, </w:t>
      </w:r>
      <w:r>
        <w:rPr>
          <w:b/>
          <w:bCs/>
        </w:rPr>
        <w:t xml:space="preserve">[•] </w:t>
      </w:r>
      <w:r>
        <w:t>(</w:t>
      </w:r>
      <w:r>
        <w:rPr>
          <w:b/>
          <w:bCs/>
        </w:rPr>
        <w:t>in te vullen door de financiële instelling</w:t>
      </w:r>
      <w:r>
        <w:t xml:space="preserve">) ,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(in euro en bedrag in cijfers en letters)</w:t>
      </w:r>
      <w:r>
        <w:t xml:space="preserve"> op eerste verzoek van de Begunstigde </w:t>
      </w:r>
      <w:r>
        <w:lastRenderedPageBreak/>
        <w:t xml:space="preserve">en zonder dat wij de gegrondheid ervan kunnen en zouden betwisten. </w:t>
      </w:r>
    </w:p>
    <w:p w14:paraId="51A77165" w14:textId="77777777" w:rsidR="006F7C89" w:rsidRPr="001C4E9D" w:rsidRDefault="006F7C89" w:rsidP="006F7C89">
      <w:pPr>
        <w:pStyle w:val="francasansnum"/>
      </w:pPr>
      <w:r>
        <w:t>Deze garantie is vanaf heden van kracht.</w:t>
      </w:r>
    </w:p>
    <w:p w14:paraId="1FB61080" w14:textId="77777777" w:rsidR="006F7C89" w:rsidRPr="00A2050B" w:rsidRDefault="006F7C89" w:rsidP="006F7C89">
      <w:pPr>
        <w:pStyle w:val="francasansnum"/>
      </w:pPr>
      <w:r>
        <w:t>Deze garantie kan door de Begunstigde slechts worden ingeroepen vanaf</w:t>
      </w:r>
      <w:r>
        <w:rPr>
          <w:b/>
        </w:rPr>
        <w:t xml:space="preserve"> </w:t>
      </w:r>
      <w:r>
        <w:t>de datum van de publicatie van de Veilingresultaten (gevalideerd door de CREG), ter bevestiging van de selectie van (een deel van) de CMU in de Veiling of de datum van de notificatie door de Begunstigde aan onze klant van de validatie van een transactie voor (een deel van) zijn CMU op de Secundaire Markt, welke datum dan ook het eerst van toepassing is. (</w:t>
      </w:r>
      <w:r>
        <w:rPr>
          <w:b/>
          <w:bCs/>
        </w:rPr>
        <w:t xml:space="preserve">Noot aan CRM-Actoren: </w:t>
      </w:r>
      <w:r>
        <w:t xml:space="preserve">In het geval van één enkele financiële garantie voor zowel Primaire als Secundaire Markt transacties, wordt de garantie aanroepbaar van zodra ofwel de Veilingresultaten gevalideerd zijn door de CREG, ofwel een transactie op de Secundaire Markt gevalideerd is.) We zijn ons ervan bewust dat de pre-leveringsverplichtingen van onze klant onverdeeld worden gecontroleerd op het niveau van een CMU en dat onze verplichtingen onder deze garantie evenredig beperkt zijn tot het deel dat de door deze garantie gedekte capaciteit vertegenwoordigt in die CMU, naargelang het geval. </w:t>
      </w:r>
    </w:p>
    <w:p w14:paraId="26A3CC0D" w14:textId="77777777" w:rsidR="006F7C89" w:rsidRPr="001C4E9D" w:rsidRDefault="006F7C89" w:rsidP="006F7C89">
      <w:pPr>
        <w:pStyle w:val="francasansnum"/>
      </w:pPr>
      <w:r>
        <w:t xml:space="preserve">Elk beroep op deze garantie moet, om geldig te zijn, voldoen aan de volgende voorwaarden: </w:t>
      </w:r>
    </w:p>
    <w:p w14:paraId="74D7E87C" w14:textId="77777777" w:rsidR="006F7C89" w:rsidRPr="002F3286" w:rsidRDefault="006F7C89" w:rsidP="006F7C89">
      <w:pPr>
        <w:widowControl/>
        <w:spacing w:after="0" w:line="240" w:lineRule="auto"/>
        <w:jc w:val="both"/>
        <w:rPr>
          <w:rFonts w:ascii="Verdana" w:eastAsia="Calibri" w:hAnsi="Verdana"/>
          <w:color w:val="000000"/>
          <w:sz w:val="18"/>
          <w:szCs w:val="18"/>
        </w:rPr>
      </w:pPr>
    </w:p>
    <w:p w14:paraId="19FECE1E" w14:textId="77777777" w:rsidR="006F7C89" w:rsidRPr="001C4E9D" w:rsidRDefault="006F7C89" w:rsidP="006F7C89">
      <w:pPr>
        <w:pStyle w:val="ListParagraphTIRET"/>
        <w:numPr>
          <w:ilvl w:val="0"/>
          <w:numId w:val="5"/>
        </w:numPr>
        <w:spacing w:line="259" w:lineRule="auto"/>
      </w:pPr>
      <w:r>
        <w:t xml:space="preserve">ons uiterlijk op [•] (vervaldag van de garantie) bereiken; en </w:t>
      </w:r>
    </w:p>
    <w:p w14:paraId="5F360C1E" w14:textId="77777777" w:rsidR="006F7C89" w:rsidRPr="001C4E9D" w:rsidRDefault="006F7C89" w:rsidP="006F7C89">
      <w:pPr>
        <w:pStyle w:val="ListParagraphTIRET"/>
        <w:numPr>
          <w:ilvl w:val="0"/>
          <w:numId w:val="5"/>
        </w:numPr>
        <w:spacing w:line="259" w:lineRule="auto"/>
      </w:pPr>
      <w:r>
        <w:t>vergezeld zijn van [de publicatie van de Veilingresultaten (gevalideerd door de CREG), ter bevestiging van de selectie van zijn CMU in de Veiling en/of de notificatie(s) door de Begunstigde aan onze klant van de validatie van (een) transactie(s) op de Secundaire Markt; en</w:t>
      </w:r>
    </w:p>
    <w:p w14:paraId="377BD615" w14:textId="77777777" w:rsidR="006F7C89" w:rsidRPr="001C4E9D" w:rsidRDefault="006F7C89" w:rsidP="006F7C89">
      <w:pPr>
        <w:pStyle w:val="ListParagraphTIRET"/>
        <w:numPr>
          <w:ilvl w:val="0"/>
          <w:numId w:val="5"/>
        </w:numPr>
        <w:spacing w:line="259" w:lineRule="auto"/>
      </w:pPr>
      <w:r>
        <w:t xml:space="preserve">vergezeld zijn van een schriftelijke verklaring van de Begunstigde dat [•] niet heeft voldaan aan zijn pre-leveringsverplichtingen krachtens de Werkingsregels, zoals nader gespecificeerd, naargelang het geval, in een Capaciteitscontract met betrekking tot een CMU [of, in voorkomend geval, (een) toekomstige CMU('s) van onze klant waaraan de verplichtingen van een Virtuele CMU worden overgedragen] (toe te voegen voor een Virtuele CMU) en de betreffende betaling(en) niet heeft verricht op de vervaldatum; en </w:t>
      </w:r>
    </w:p>
    <w:p w14:paraId="24D0AEC9" w14:textId="77777777" w:rsidR="006F7C89" w:rsidRPr="001C4E9D" w:rsidRDefault="006F7C89" w:rsidP="006F7C89">
      <w:pPr>
        <w:pStyle w:val="ListParagraphTIRET"/>
        <w:numPr>
          <w:ilvl w:val="0"/>
          <w:numId w:val="5"/>
        </w:numPr>
        <w:spacing w:line="259" w:lineRule="auto"/>
      </w:pPr>
      <w:r>
        <w:t xml:space="preserve">vergezeld zijn van een kopie van de creditnota (of factuur) in verband met de onbetaalde verschuldigde penaliteiten en een kopie van de ingebrekestellingsbrief door de Begunstigde. </w:t>
      </w:r>
    </w:p>
    <w:p w14:paraId="74CE0F9C" w14:textId="77777777" w:rsidR="006F7C89" w:rsidRPr="001C4E9D" w:rsidRDefault="006F7C89" w:rsidP="006F7C89">
      <w:pPr>
        <w:pStyle w:val="francasansnum"/>
      </w:pPr>
      <w:r>
        <w:t xml:space="preserve">Zonder beroep conform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2039D586" w14:textId="77777777" w:rsidR="006F7C89" w:rsidRPr="001C4E9D" w:rsidRDefault="006F7C89" w:rsidP="006F7C89">
      <w:pPr>
        <w:pStyle w:val="francasansnum"/>
      </w:pPr>
      <w:r>
        <w:t>Deze garantie is onderworpen aan en wordt geïnterpreteerd in overeenstemming met het Belgische recht en alleen de Belgische rechtbanken en hoven zijn bevoegd om geschillen met betrekking tot deze garantie op te lossen.</w:t>
      </w:r>
    </w:p>
    <w:p w14:paraId="65C14746" w14:textId="77777777" w:rsidR="006F7C89" w:rsidRPr="001C4E9D" w:rsidRDefault="006F7C89" w:rsidP="006F7C89">
      <w:pPr>
        <w:pStyle w:val="francasansnum"/>
      </w:pPr>
    </w:p>
    <w:p w14:paraId="7D4AAD53" w14:textId="249BF7F1" w:rsidR="006F7C89" w:rsidRDefault="006F7C89" w:rsidP="006F7C89">
      <w:pPr>
        <w:pStyle w:val="francasansnum"/>
      </w:pPr>
      <w:r>
        <w:t>Handtekening</w:t>
      </w:r>
    </w:p>
    <w:p w14:paraId="34E83AE5" w14:textId="77777777" w:rsidR="006F7C89" w:rsidRPr="002F3286" w:rsidRDefault="006F7C89" w:rsidP="006F7C89">
      <w:pPr>
        <w:pStyle w:val="francasansnum"/>
      </w:pPr>
    </w:p>
    <w:p w14:paraId="4C2832D7" w14:textId="77777777" w:rsidR="006F7C89" w:rsidRPr="002F3286" w:rsidRDefault="006F7C89" w:rsidP="006F7C89">
      <w:pPr>
        <w:pStyle w:val="francasansnum"/>
      </w:pPr>
      <w:r>
        <w:t>Functie:</w:t>
      </w:r>
    </w:p>
    <w:p w14:paraId="3D333F2B" w14:textId="77777777" w:rsidR="006F7C89" w:rsidRDefault="006F7C89" w:rsidP="006F7C89">
      <w:pPr>
        <w:pStyle w:val="francasansnum"/>
        <w:rPr>
          <w:b/>
          <w:color w:val="F0801A"/>
          <w:sz w:val="32"/>
          <w:szCs w:val="32"/>
        </w:rPr>
      </w:pPr>
      <w:r>
        <w:t>Datum:</w:t>
      </w:r>
      <w:r>
        <w:rPr>
          <w:sz w:val="32"/>
          <w:szCs w:val="32"/>
        </w:rPr>
        <w:br w:type="page"/>
      </w:r>
    </w:p>
    <w:p w14:paraId="720B1F06" w14:textId="77777777" w:rsidR="006F7C89" w:rsidRPr="00394F75" w:rsidRDefault="006F7C89" w:rsidP="006F7C89">
      <w:pPr>
        <w:pStyle w:val="Heading3"/>
        <w:numPr>
          <w:ilvl w:val="0"/>
          <w:numId w:val="0"/>
        </w:numPr>
        <w:ind w:left="720" w:hanging="720"/>
      </w:pPr>
      <w:bookmarkStart w:id="9" w:name="_Toc122529428"/>
      <w:bookmarkStart w:id="10" w:name="_Toc121813052"/>
      <w:bookmarkStart w:id="11" w:name="_Toc104835834"/>
      <w:bookmarkStart w:id="12" w:name="_Toc117605690"/>
      <w:bookmarkStart w:id="13" w:name="_Toc117604182"/>
      <w:bookmarkStart w:id="14" w:name="_Toc117602835"/>
      <w:bookmarkStart w:id="15" w:name="_Toc94546284"/>
      <w:bookmarkStart w:id="16" w:name="_Ref50024198"/>
      <w:bookmarkStart w:id="17" w:name="_Toc165650601"/>
      <w:r>
        <w:lastRenderedPageBreak/>
        <w:t>BIJLAGE E.2: STANDAARDFORMULIER GARANTIE VAN EEN VERBONDEN ONDERNEMING VOOR DE WERKINGSREGELS [•]</w:t>
      </w:r>
      <w:bookmarkEnd w:id="9"/>
      <w:bookmarkEnd w:id="10"/>
      <w:bookmarkEnd w:id="11"/>
      <w:bookmarkEnd w:id="12"/>
      <w:bookmarkEnd w:id="13"/>
      <w:bookmarkEnd w:id="14"/>
      <w:bookmarkEnd w:id="15"/>
      <w:bookmarkEnd w:id="16"/>
      <w:bookmarkEnd w:id="17"/>
    </w:p>
    <w:p w14:paraId="2FB2112E" w14:textId="77777777" w:rsidR="006F7C89" w:rsidRPr="00B03DF0" w:rsidRDefault="006F7C89" w:rsidP="006F7C89">
      <w:pPr>
        <w:widowControl/>
        <w:spacing w:after="0" w:line="240" w:lineRule="auto"/>
        <w:jc w:val="both"/>
        <w:rPr>
          <w:rFonts w:ascii="Verdana" w:eastAsia="Calibri" w:hAnsi="Verdana"/>
          <w:color w:val="000000"/>
          <w:sz w:val="18"/>
          <w:szCs w:val="18"/>
        </w:rPr>
      </w:pPr>
    </w:p>
    <w:p w14:paraId="5D49F00B" w14:textId="77777777" w:rsidR="006F7C89" w:rsidRPr="001C4E9D" w:rsidRDefault="006F7C89" w:rsidP="006F7C89">
      <w:pPr>
        <w:pStyle w:val="francasansnum"/>
      </w:pPr>
      <w:r>
        <w:t xml:space="preserve">Garantie op eerste verzoek uitgegeven door </w:t>
      </w:r>
      <w:r>
        <w:rPr>
          <w:b/>
          <w:bCs/>
        </w:rPr>
        <w:t xml:space="preserve">[•] </w:t>
      </w:r>
      <w:r>
        <w:t xml:space="preserve">ten gunste van: </w:t>
      </w:r>
      <w:r>
        <w:rPr>
          <w:b/>
          <w:bCs/>
        </w:rPr>
        <w:t>[•] (ELIA Transmission Belgium NV/SA)</w:t>
      </w:r>
      <w:r>
        <w:t>, hierna de Begunstigde genoemd, in het kader van het Capaciteitsvergoedingsmechanisme dat is ingevoerd volgens respectievelijk artikel 7</w:t>
      </w:r>
      <w:r w:rsidRPr="008D0A94">
        <w:rPr>
          <w:i/>
        </w:rPr>
        <w:t>undecies</w:t>
      </w:r>
      <w:r>
        <w:t xml:space="preserve"> of artikel 7</w:t>
      </w:r>
      <w:r w:rsidRPr="008D0A94">
        <w:rPr>
          <w:i/>
        </w:rPr>
        <w:t>duodecies</w:t>
      </w:r>
      <w:r>
        <w:t xml:space="preserve"> van de Belgische wet van 29 april 1999 betreffende de organisatie van de elektriciteitsmarkt (hierna de Elektriciteitswet genoemd). </w:t>
      </w:r>
    </w:p>
    <w:p w14:paraId="788ACA22" w14:textId="77777777" w:rsidR="006F7C89" w:rsidRPr="001C4E9D" w:rsidRDefault="006F7C89" w:rsidP="006F7C89">
      <w:pPr>
        <w:pStyle w:val="francasansnum"/>
      </w:pPr>
      <w:r>
        <w:t xml:space="preserve">Onze betalingsgarantiekenmerken: </w:t>
      </w:r>
      <w:r>
        <w:rPr>
          <w:b/>
          <w:bCs/>
        </w:rPr>
        <w:t>[•] (in te vullen door de borgsteller)</w:t>
      </w:r>
      <w:r>
        <w:t xml:space="preserve"> (te vermelden in al uw correspondentie). </w:t>
      </w:r>
    </w:p>
    <w:p w14:paraId="7F796904" w14:textId="77777777" w:rsidR="006F7C89" w:rsidRPr="001C4E9D" w:rsidRDefault="006F7C89" w:rsidP="006F7C89">
      <w:pPr>
        <w:pStyle w:val="francasansnum"/>
      </w:pPr>
      <w:r>
        <w:t xml:space="preserve">(Kies een van de twee onderstaande paragrafen: de eerste § is van toepassing op een Transactie op de Primaire Markt, de tweede § op een Transactie op de Secundaire Markt). </w:t>
      </w:r>
    </w:p>
    <w:p w14:paraId="6FBEC998" w14:textId="77777777" w:rsidR="006F7C89" w:rsidRPr="001C4E9D" w:rsidRDefault="006F7C89" w:rsidP="006F7C89">
      <w:pPr>
        <w:pStyle w:val="francasansnum"/>
      </w:pPr>
      <w:r>
        <w:rPr>
          <w:b/>
          <w:bCs/>
        </w:rPr>
        <w:t>[</w:t>
      </w:r>
      <w:r>
        <w:t xml:space="preserve">Onze verbonden onderneming </w:t>
      </w:r>
      <w:r>
        <w:rPr>
          <w:b/>
          <w:bCs/>
        </w:rPr>
        <w:t xml:space="preserve">[•] (naam van de CRM-Actor) </w:t>
      </w:r>
      <w:r>
        <w:t xml:space="preserve">deelt ons mee dat zij op datum van </w:t>
      </w:r>
      <w:r>
        <w:rPr>
          <w:b/>
          <w:bCs/>
        </w:rPr>
        <w:t>[•] (datum van de geplande indiening van het Prekwalificatiedossier)</w:t>
      </w:r>
      <w:r>
        <w:t xml:space="preserve">) een Prekwalificatiedossier zal indienen/heeft ingediend bij ELIA Transmission Belgium NV/SA voor de CMU met identificatienummer </w:t>
      </w:r>
      <w:r>
        <w:rPr>
          <w:b/>
          <w:bCs/>
        </w:rPr>
        <w:t xml:space="preserve">[•] (identificatienummer van de Eenheid in de Capaciteitsmarkt) </w:t>
      </w:r>
      <w:r>
        <w:t>met betrekking tot de in</w:t>
      </w:r>
      <w:r>
        <w:rPr>
          <w:vertAlign w:val="superscript"/>
        </w:rPr>
        <w:footnoteReference w:id="3"/>
      </w:r>
      <w:r>
        <w:t xml:space="preserve"> artikel 7</w:t>
      </w:r>
      <w:r w:rsidRPr="008D0A94">
        <w:rPr>
          <w:i/>
        </w:rPr>
        <w:t>undecies</w:t>
      </w:r>
      <w:r>
        <w:t xml:space="preserve"> van de Elektriciteitswet bedoelde Werkingsregels.</w:t>
      </w:r>
      <w:r>
        <w:rPr>
          <w:b/>
          <w:bCs/>
        </w:rPr>
        <w:t>]</w:t>
      </w:r>
      <w:r>
        <w:t xml:space="preserve"> </w:t>
      </w:r>
    </w:p>
    <w:p w14:paraId="0548B1E6" w14:textId="77777777" w:rsidR="006F7C89" w:rsidRPr="001C4E9D" w:rsidRDefault="006F7C89" w:rsidP="006F7C89">
      <w:pPr>
        <w:pStyle w:val="francasansnum"/>
      </w:pPr>
      <w:r>
        <w:rPr>
          <w:b/>
          <w:bCs/>
          <w:i/>
          <w:iCs/>
        </w:rPr>
        <w:t>OF:</w:t>
      </w:r>
      <w:r>
        <w:t xml:space="preserve"> </w:t>
      </w:r>
      <w:r>
        <w:rPr>
          <w:b/>
          <w:bCs/>
        </w:rPr>
        <w:t>[</w:t>
      </w:r>
      <w:r>
        <w:t xml:space="preserve">Onze verbonden onderneming </w:t>
      </w:r>
      <w:r>
        <w:rPr>
          <w:b/>
          <w:bCs/>
        </w:rPr>
        <w:t xml:space="preserve">[•] (naam van de CRM-Actor) </w:t>
      </w:r>
      <w:r>
        <w:t xml:space="preserve">deelt ons mee dat zij op datum van </w:t>
      </w:r>
      <w:r>
        <w:rPr>
          <w:b/>
          <w:bCs/>
        </w:rPr>
        <w:t>[•] (datum van de geplande notificatie van de transactie op de Secundaire Markt)</w:t>
      </w:r>
      <w:r>
        <w:t xml:space="preserve"> ELIA Transmission Belgium NV/SA kennis zal geven van een transactie op de Secundaire Markt met referentie</w:t>
      </w:r>
      <w:r>
        <w:rPr>
          <w:b/>
          <w:bCs/>
        </w:rPr>
        <w:t xml:space="preserve"> [•] </w:t>
      </w:r>
      <w:r>
        <w:t xml:space="preserve">voor de CMU met identificatienummer </w:t>
      </w:r>
      <w:r>
        <w:rPr>
          <w:b/>
          <w:bCs/>
        </w:rPr>
        <w:t>[•] (identificatienummer van de Eenheid in de Capaciteitsmarkt)</w:t>
      </w:r>
      <w:r>
        <w:t xml:space="preserve">met betrekking tot de in artikel 7 </w:t>
      </w:r>
      <w:r w:rsidRPr="008D0A94">
        <w:rPr>
          <w:i/>
        </w:rPr>
        <w:t>undecies</w:t>
      </w:r>
      <w:r>
        <w:t xml:space="preserve"> van de Elektriciteitswet bedoelde Werkingsregels.</w:t>
      </w:r>
      <w:r>
        <w:rPr>
          <w:b/>
          <w:bCs/>
        </w:rPr>
        <w:t>]</w:t>
      </w:r>
      <w:r>
        <w:t xml:space="preserve"> </w:t>
      </w:r>
    </w:p>
    <w:p w14:paraId="50DD8AC3" w14:textId="77777777" w:rsidR="006F7C89" w:rsidRPr="001C4E9D" w:rsidRDefault="006F7C89" w:rsidP="006F7C89">
      <w:pPr>
        <w:pStyle w:val="francasansnum"/>
      </w:pPr>
      <w:r>
        <w:t xml:space="preserve">De voorwaarden van de Werkingsregels voorzien, als alternatief voor een onherroepelijke bankgarantie betaalbaar op eerste verzoek, in de uitgifte van een onherroepelijke garantie van de verbonden onderneming die op eerste verzoek betaalbaar is, voor een bedrag ten belope van </w:t>
      </w:r>
      <w:r>
        <w:rPr>
          <w:b/>
          <w:bCs/>
        </w:rPr>
        <w:t xml:space="preserve">[•] </w:t>
      </w:r>
      <w:r>
        <w:t>(</w:t>
      </w:r>
      <w:r>
        <w:rPr>
          <w:b/>
          <w:bCs/>
        </w:rPr>
        <w:t>in euro en bedrag in cijfers en letters</w:t>
      </w:r>
      <w:r>
        <w:t xml:space="preserve">) als waarborg voor de vereiste en stipte naleving door onze verbonden onderneming van diens verplichtingen met betrekking tot de pre-leveringscontroleprocessen (met inbegrip van de ondertekening van het Capaciteitscontract) met betrekking tot de CMU </w:t>
      </w:r>
      <w:r>
        <w:rPr>
          <w:b/>
          <w:bCs/>
        </w:rPr>
        <w:t>[</w:t>
      </w:r>
      <w:r>
        <w:t>of, in voorkomend geval, (een) toekomstige CMU('s) van onze verbonden onderneming waaraan de verplichtingen van een Virtuele CMU worden overgedragen</w:t>
      </w:r>
      <w:r>
        <w:rPr>
          <w:b/>
          <w:bCs/>
        </w:rPr>
        <w:t>] (toe te voegen voor een Virtuele CMU)</w:t>
      </w:r>
      <w:r>
        <w:t xml:space="preserve">. </w:t>
      </w:r>
    </w:p>
    <w:p w14:paraId="5E213C3F" w14:textId="77777777" w:rsidR="006F7C89" w:rsidRPr="001C4E9D" w:rsidRDefault="006F7C89" w:rsidP="006F7C89">
      <w:pPr>
        <w:pStyle w:val="francasansnum"/>
      </w:pPr>
      <w:r>
        <w:t xml:space="preserve">Bijgevolg garanderen wij, </w:t>
      </w:r>
      <w:r>
        <w:rPr>
          <w:b/>
          <w:bCs/>
        </w:rPr>
        <w:t>[•] (in te vullen door de borgsteller)</w:t>
      </w:r>
      <w:r>
        <w:t xml:space="preserve">,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xml:space="preserve">[•] </w:t>
      </w:r>
      <w:r>
        <w:t xml:space="preserve">(in euro en bedrag in cijfers en letters) op schriftelijk verzoek van de Begunstigde en zonder dat wij de gegrondheid ervan kunnen en zouden betwisten. Een juridisch advies van een internationaal erkend advocatenkantoor dient te bevestigen dat de garantie wettelijk, geldig, bindend en afdwingbaar is volgens het toepasselijke recht. </w:t>
      </w:r>
    </w:p>
    <w:p w14:paraId="3C111BD2" w14:textId="77777777" w:rsidR="006F7C89" w:rsidRPr="001C4E9D" w:rsidRDefault="006F7C89" w:rsidP="006F7C89">
      <w:pPr>
        <w:pStyle w:val="francasansnum"/>
      </w:pPr>
      <w:r>
        <w:t>Deze garantie is vanaf heden van kracht.</w:t>
      </w:r>
    </w:p>
    <w:p w14:paraId="77652672" w14:textId="77777777" w:rsidR="006F7C89" w:rsidRPr="001C4E9D" w:rsidRDefault="006F7C89" w:rsidP="006F7C89">
      <w:pPr>
        <w:pStyle w:val="francasansnum"/>
      </w:pPr>
      <w:r>
        <w:lastRenderedPageBreak/>
        <w:t xml:space="preserve">Deze garantie kan door de Begunstigde slechts worden ingeroepen vanaf </w:t>
      </w:r>
      <w:r>
        <w:rPr>
          <w:b/>
          <w:bCs/>
        </w:rPr>
        <w:t>[</w:t>
      </w:r>
      <w:r>
        <w:t>de publicatie van de Veilingresultaten (gevalideerd door de CREG), ter bevestiging van de selectie van (een deel van) zijn CMU's in de Veiling</w:t>
      </w:r>
      <w:r>
        <w:rPr>
          <w:b/>
          <w:bCs/>
        </w:rPr>
        <w:t>]</w:t>
      </w:r>
      <w:r>
        <w:t xml:space="preserve"> </w:t>
      </w:r>
      <w:r>
        <w:rPr>
          <w:b/>
          <w:bCs/>
          <w:i/>
          <w:iCs/>
        </w:rPr>
        <w:t xml:space="preserve">OF: </w:t>
      </w:r>
      <w:r>
        <w:rPr>
          <w:b/>
          <w:bCs/>
        </w:rPr>
        <w:t>[</w:t>
      </w:r>
      <w:r>
        <w:t>de notificatie door de Begunstigde aan onze dochteronderneming van de validatie van een transactie voor (een deel van) zijn CMU op de Secundaire Markt</w:t>
      </w:r>
      <w:r>
        <w:rPr>
          <w:b/>
          <w:bCs/>
        </w:rPr>
        <w:t>]</w:t>
      </w:r>
      <w:r>
        <w:t>. We zijn ons ervan bewust dat de pre-leveringsverplichtingen van onze dochteronderneming onverdeeld worden gecontroleerd op het niveau van een CMU en dat onze verplichtingen onder deze garantie evenredig beperkt zijn tot het deel dat de door deze garantie gedekte capaciteit vertegenwoordigt in die CMU, naargelang het geval.</w:t>
      </w:r>
    </w:p>
    <w:p w14:paraId="7E80D779" w14:textId="77777777" w:rsidR="006F7C89" w:rsidRPr="001C4E9D" w:rsidRDefault="006F7C89" w:rsidP="006F7C89">
      <w:pPr>
        <w:pStyle w:val="francasansnum"/>
      </w:pPr>
      <w:r>
        <w:t xml:space="preserve">Elk beroep op deze garantie moet, om geldig te zijn, voldoen aan de volgende voorwaarden: </w:t>
      </w:r>
    </w:p>
    <w:p w14:paraId="2FD74B19" w14:textId="77777777" w:rsidR="006F7C89" w:rsidRPr="00B03DF0" w:rsidRDefault="006F7C89" w:rsidP="006F7C89">
      <w:pPr>
        <w:widowControl/>
        <w:spacing w:after="0" w:line="240" w:lineRule="auto"/>
        <w:jc w:val="both"/>
        <w:rPr>
          <w:rFonts w:ascii="Verdana" w:eastAsia="Calibri" w:hAnsi="Verdana"/>
          <w:color w:val="000000"/>
          <w:sz w:val="18"/>
          <w:szCs w:val="18"/>
        </w:rPr>
      </w:pPr>
    </w:p>
    <w:p w14:paraId="7168C796" w14:textId="77777777" w:rsidR="006F7C89" w:rsidRPr="001C4E9D" w:rsidRDefault="006F7C89" w:rsidP="006F7C89">
      <w:pPr>
        <w:pStyle w:val="ListParagraphTIRET"/>
        <w:numPr>
          <w:ilvl w:val="0"/>
          <w:numId w:val="5"/>
        </w:numPr>
        <w:spacing w:line="259" w:lineRule="auto"/>
      </w:pPr>
      <w:r>
        <w:t xml:space="preserve">ons uiterlijk op [•] (vervaldag van de garantie) bereiken; en </w:t>
      </w:r>
    </w:p>
    <w:p w14:paraId="5BBDA699" w14:textId="77777777" w:rsidR="006F7C89" w:rsidRPr="001C4E9D" w:rsidRDefault="006F7C89" w:rsidP="006F7C89">
      <w:pPr>
        <w:pStyle w:val="ListParagraphTIRET"/>
        <w:numPr>
          <w:ilvl w:val="0"/>
          <w:numId w:val="5"/>
        </w:numPr>
        <w:spacing w:line="259" w:lineRule="auto"/>
      </w:pPr>
      <w:r>
        <w:t>vergezeld zijn van [de publicatie van de Veilingresultaten (gevalideerd door de CREG), ter bevestiging van de selectie van zijn CMU in de Veiling] OF: [de notificatie door de Begunstigde aan onze dochteronderneming van de validatie van een transactie op de Secundaire Markt]; en</w:t>
      </w:r>
    </w:p>
    <w:p w14:paraId="15AD2502" w14:textId="77777777" w:rsidR="006F7C89" w:rsidRPr="001C4E9D" w:rsidRDefault="006F7C89" w:rsidP="006F7C89">
      <w:pPr>
        <w:pStyle w:val="ListParagraphTIRET"/>
        <w:numPr>
          <w:ilvl w:val="0"/>
          <w:numId w:val="5"/>
        </w:numPr>
        <w:spacing w:line="259" w:lineRule="auto"/>
      </w:pPr>
      <w:r>
        <w:t xml:space="preserve">vergezeld zijn van een schriftelijke verklaring van de Begunstigde dat onze dochteronderneming niet heeft voldaan aan haar pre-leveringsverplichtingen krachtens de Werkingsregels, zoals nader gespecificeerd, naargelang het geval, in een Capaciteitscontract met betrekking tot een CMU [of, in voorkomend geval, toekomstige CMU('s) van onze dochteronderneming waaraan de verplichtingen van een Virtuele CMU worden overgedragen] en de betreffende betaling(en) niet heeft verricht op de vervaldatum; en </w:t>
      </w:r>
    </w:p>
    <w:p w14:paraId="2E718702" w14:textId="77777777" w:rsidR="006F7C89" w:rsidRPr="001C4E9D" w:rsidRDefault="006F7C89" w:rsidP="006F7C89">
      <w:pPr>
        <w:pStyle w:val="ListParagraphTIRET"/>
        <w:numPr>
          <w:ilvl w:val="0"/>
          <w:numId w:val="5"/>
        </w:numPr>
        <w:spacing w:line="259" w:lineRule="auto"/>
      </w:pPr>
      <w:r>
        <w:t xml:space="preserve">vergezeld zijn van een kopie van de creditnota (of factuur) in verband met de onbetaalde verschuldigde penaliteiten en een kopie van de ingebrekestellingsbrief door de Begunstigde. </w:t>
      </w:r>
    </w:p>
    <w:p w14:paraId="545523ED" w14:textId="77777777" w:rsidR="006F7C89" w:rsidRPr="001C4E9D" w:rsidRDefault="006F7C89" w:rsidP="006F7C89">
      <w:pPr>
        <w:pStyle w:val="francasansnum"/>
      </w:pPr>
      <w:r>
        <w:t xml:space="preserve">Zonder beroep conform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615030E2" w14:textId="77777777" w:rsidR="006F7C89" w:rsidRPr="001C4E9D" w:rsidRDefault="006F7C89" w:rsidP="006F7C89">
      <w:pPr>
        <w:pStyle w:val="francasansnum"/>
      </w:pPr>
      <w:r>
        <w:t>Deze garantie is onderworpen aan en wordt geïnterpreteerd in overeenstemming met het Belgische recht en alleen de Belgische rechtbanken en hoven zijn bevoegd om geschillen met betrekking tot deze garantie op te lossen.</w:t>
      </w:r>
    </w:p>
    <w:p w14:paraId="5C703C9F" w14:textId="77777777" w:rsidR="006F7C89" w:rsidRDefault="006F7C89" w:rsidP="006F7C89">
      <w:pPr>
        <w:pStyle w:val="francasansnum"/>
      </w:pPr>
      <w:r>
        <w:t>Handtekening</w:t>
      </w:r>
    </w:p>
    <w:p w14:paraId="58D27687" w14:textId="77777777" w:rsidR="006F7C89" w:rsidRDefault="006F7C89" w:rsidP="006F7C89">
      <w:pPr>
        <w:pStyle w:val="francasansnum"/>
      </w:pPr>
    </w:p>
    <w:p w14:paraId="1D19FFEC" w14:textId="77777777" w:rsidR="006F7C89" w:rsidRPr="00B03DF0" w:rsidRDefault="006F7C89" w:rsidP="006F7C89">
      <w:pPr>
        <w:pStyle w:val="francasansnum"/>
      </w:pPr>
    </w:p>
    <w:p w14:paraId="097BC346" w14:textId="77777777" w:rsidR="006F7C89" w:rsidRPr="00B03DF0" w:rsidRDefault="006F7C89" w:rsidP="006F7C89">
      <w:pPr>
        <w:pStyle w:val="francasansnum"/>
      </w:pPr>
      <w:r>
        <w:t>Functie:</w:t>
      </w:r>
    </w:p>
    <w:p w14:paraId="6BFF134B" w14:textId="77777777" w:rsidR="006F7C89" w:rsidRDefault="006F7C89" w:rsidP="006F7C89">
      <w:pPr>
        <w:pStyle w:val="francasansnum"/>
      </w:pPr>
      <w:r>
        <w:t>Datum:</w:t>
      </w:r>
    </w:p>
    <w:p w14:paraId="0B3D249A" w14:textId="6C93318F" w:rsidR="008749E5" w:rsidRPr="00D76528" w:rsidRDefault="008749E5" w:rsidP="00D76528">
      <w:pPr>
        <w:widowControl/>
        <w:autoSpaceDE/>
        <w:autoSpaceDN/>
        <w:adjustRightInd/>
        <w:spacing w:after="160" w:line="259" w:lineRule="auto"/>
        <w:rPr>
          <w:rFonts w:ascii="Verdana" w:eastAsiaTheme="minorHAnsi" w:hAnsi="Verdana" w:cstheme="minorBidi"/>
          <w:color w:val="000000"/>
          <w:sz w:val="18"/>
          <w:szCs w:val="18"/>
          <w:lang w:eastAsia="en-US"/>
        </w:rPr>
      </w:pPr>
      <w:bookmarkStart w:id="18" w:name="_Toc126069235"/>
      <w:bookmarkStart w:id="19" w:name="_Toc126069236"/>
      <w:bookmarkStart w:id="20" w:name="_Toc126069237"/>
      <w:bookmarkStart w:id="21" w:name="_Toc126069238"/>
      <w:bookmarkStart w:id="22" w:name="_Toc126069239"/>
      <w:bookmarkEnd w:id="18"/>
      <w:bookmarkEnd w:id="19"/>
      <w:bookmarkEnd w:id="20"/>
      <w:bookmarkEnd w:id="21"/>
      <w:bookmarkEnd w:id="22"/>
    </w:p>
    <w:sectPr w:rsidR="008749E5" w:rsidRPr="00D76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69E5" w14:textId="77777777" w:rsidR="003F76E0" w:rsidRDefault="003F76E0" w:rsidP="006F7C89">
      <w:pPr>
        <w:spacing w:after="0" w:line="240" w:lineRule="auto"/>
      </w:pPr>
      <w:r>
        <w:separator/>
      </w:r>
    </w:p>
  </w:endnote>
  <w:endnote w:type="continuationSeparator" w:id="0">
    <w:p w14:paraId="45C0A4AC" w14:textId="77777777" w:rsidR="003F76E0" w:rsidRDefault="003F76E0" w:rsidP="006F7C89">
      <w:pPr>
        <w:spacing w:after="0" w:line="240" w:lineRule="auto"/>
      </w:pPr>
      <w:r>
        <w:continuationSeparator/>
      </w:r>
    </w:p>
  </w:endnote>
  <w:endnote w:type="continuationNotice" w:id="1">
    <w:p w14:paraId="0BEB94B3" w14:textId="77777777" w:rsidR="003F76E0" w:rsidRDefault="003F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63CF" w14:textId="77777777" w:rsidR="003F76E0" w:rsidRDefault="003F76E0" w:rsidP="006F7C89">
      <w:pPr>
        <w:spacing w:after="0" w:line="240" w:lineRule="auto"/>
      </w:pPr>
      <w:r>
        <w:separator/>
      </w:r>
    </w:p>
  </w:footnote>
  <w:footnote w:type="continuationSeparator" w:id="0">
    <w:p w14:paraId="6DD1147A" w14:textId="77777777" w:rsidR="003F76E0" w:rsidRDefault="003F76E0" w:rsidP="006F7C89">
      <w:pPr>
        <w:spacing w:after="0" w:line="240" w:lineRule="auto"/>
      </w:pPr>
      <w:r>
        <w:continuationSeparator/>
      </w:r>
    </w:p>
  </w:footnote>
  <w:footnote w:type="continuationNotice" w:id="1">
    <w:p w14:paraId="16FEB1C3" w14:textId="77777777" w:rsidR="003F76E0" w:rsidRDefault="003F76E0">
      <w:pPr>
        <w:spacing w:after="0" w:line="240" w:lineRule="auto"/>
      </w:pPr>
    </w:p>
  </w:footnote>
  <w:footnote w:id="2">
    <w:p w14:paraId="3D64D0BD" w14:textId="77777777" w:rsidR="006F7C89" w:rsidRPr="00D75A81" w:rsidRDefault="006F7C89" w:rsidP="006F7C89">
      <w:pPr>
        <w:pStyle w:val="FootnoteText"/>
        <w:rPr>
          <w:rFonts w:ascii="Verdana" w:hAnsi="Verdana"/>
          <w:sz w:val="14"/>
          <w:szCs w:val="14"/>
        </w:rPr>
      </w:pPr>
      <w:r>
        <w:rPr>
          <w:rStyle w:val="FootnoteReference"/>
          <w:rFonts w:ascii="Verdana" w:hAnsi="Verdana"/>
          <w:sz w:val="14"/>
          <w:szCs w:val="14"/>
          <w:lang w:val="nl-BE"/>
        </w:rPr>
        <w:footnoteRef/>
      </w:r>
      <w:r>
        <w:rPr>
          <w:rFonts w:ascii="Verdana" w:hAnsi="Verdana"/>
          <w:sz w:val="14"/>
          <w:szCs w:val="14"/>
          <w:lang w:val="nl-BE"/>
        </w:rPr>
        <w:t xml:space="preserve"> Termen in dit modeldocument die met een hoofdletter beginnen en die niet in dit modeldocument worden gedefinieerd, zijn in de Werkingsregels gedefinieerde termen.</w:t>
      </w:r>
    </w:p>
  </w:footnote>
  <w:footnote w:id="3">
    <w:p w14:paraId="5FA8C963" w14:textId="77777777" w:rsidR="006F7C89" w:rsidRPr="005A25F2" w:rsidRDefault="006F7C89" w:rsidP="006F7C89">
      <w:pPr>
        <w:pStyle w:val="FootnoteText"/>
        <w:rPr>
          <w:rFonts w:ascii="Verdana" w:hAnsi="Verdana"/>
          <w:sz w:val="14"/>
          <w:szCs w:val="14"/>
        </w:rPr>
      </w:pPr>
      <w:r>
        <w:rPr>
          <w:rStyle w:val="FootnoteReference"/>
          <w:rFonts w:ascii="Verdana" w:hAnsi="Verdana"/>
          <w:sz w:val="14"/>
          <w:szCs w:val="14"/>
          <w:lang w:val="nl-BE"/>
        </w:rPr>
        <w:footnoteRef/>
      </w:r>
      <w:r>
        <w:rPr>
          <w:rFonts w:ascii="Verdana" w:hAnsi="Verdana"/>
          <w:sz w:val="14"/>
          <w:szCs w:val="14"/>
          <w:lang w:val="nl-BE"/>
        </w:rPr>
        <w:t xml:space="preserve"> Termen in dit modeldocument die met een hoofdletter beginnen en die niet in dit modeldocument worden gedefinieerd, zijn in de Werkingsregels gedefinieerde termen.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9C2"/>
    <w:multiLevelType w:val="multilevel"/>
    <w:tmpl w:val="92B25CA8"/>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nl-B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F5E462F"/>
    <w:multiLevelType w:val="hybridMultilevel"/>
    <w:tmpl w:val="31306E74"/>
    <w:lvl w:ilvl="0" w:tplc="E0C46E5E">
      <w:start w:val="1"/>
      <w:numFmt w:val="bullet"/>
      <w:lvlText w:val="-"/>
      <w:lvlJc w:val="left"/>
      <w:pPr>
        <w:ind w:left="1287" w:hanging="360"/>
      </w:pPr>
      <w:rPr>
        <w:rFonts w:ascii="Arial" w:eastAsiaTheme="minorEastAsia" w:hAnsi="Arial" w:cs="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3"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start w:val="1"/>
      <w:numFmt w:val="bullet"/>
      <w:lvlText w:val="o"/>
      <w:lvlJc w:val="left"/>
      <w:pPr>
        <w:ind w:left="2084" w:hanging="360"/>
      </w:pPr>
      <w:rPr>
        <w:rFonts w:ascii="Courier New" w:hAnsi="Courier New" w:cs="Courier New" w:hint="default"/>
      </w:rPr>
    </w:lvl>
    <w:lvl w:ilvl="2" w:tplc="08130005">
      <w:start w:val="1"/>
      <w:numFmt w:val="bullet"/>
      <w:lvlText w:val=""/>
      <w:lvlJc w:val="left"/>
      <w:pPr>
        <w:ind w:left="2804" w:hanging="360"/>
      </w:pPr>
      <w:rPr>
        <w:rFonts w:ascii="Wingdings" w:hAnsi="Wingdings" w:hint="default"/>
      </w:rPr>
    </w:lvl>
    <w:lvl w:ilvl="3" w:tplc="08130001">
      <w:start w:val="1"/>
      <w:numFmt w:val="bullet"/>
      <w:lvlText w:val=""/>
      <w:lvlJc w:val="left"/>
      <w:pPr>
        <w:ind w:left="3524" w:hanging="360"/>
      </w:pPr>
      <w:rPr>
        <w:rFonts w:ascii="Symbol" w:hAnsi="Symbol" w:hint="default"/>
      </w:rPr>
    </w:lvl>
    <w:lvl w:ilvl="4" w:tplc="08130003">
      <w:start w:val="1"/>
      <w:numFmt w:val="bullet"/>
      <w:lvlText w:val="o"/>
      <w:lvlJc w:val="left"/>
      <w:pPr>
        <w:ind w:left="4244" w:hanging="360"/>
      </w:pPr>
      <w:rPr>
        <w:rFonts w:ascii="Courier New" w:hAnsi="Courier New" w:cs="Courier New" w:hint="default"/>
      </w:rPr>
    </w:lvl>
    <w:lvl w:ilvl="5" w:tplc="08130005">
      <w:start w:val="1"/>
      <w:numFmt w:val="bullet"/>
      <w:lvlText w:val=""/>
      <w:lvlJc w:val="left"/>
      <w:pPr>
        <w:ind w:left="4964" w:hanging="360"/>
      </w:pPr>
      <w:rPr>
        <w:rFonts w:ascii="Wingdings" w:hAnsi="Wingdings" w:hint="default"/>
      </w:rPr>
    </w:lvl>
    <w:lvl w:ilvl="6" w:tplc="08130001">
      <w:start w:val="1"/>
      <w:numFmt w:val="bullet"/>
      <w:lvlText w:val=""/>
      <w:lvlJc w:val="left"/>
      <w:pPr>
        <w:ind w:left="5684" w:hanging="360"/>
      </w:pPr>
      <w:rPr>
        <w:rFonts w:ascii="Symbol" w:hAnsi="Symbol" w:hint="default"/>
      </w:rPr>
    </w:lvl>
    <w:lvl w:ilvl="7" w:tplc="08130003">
      <w:start w:val="1"/>
      <w:numFmt w:val="bullet"/>
      <w:lvlText w:val="o"/>
      <w:lvlJc w:val="left"/>
      <w:pPr>
        <w:ind w:left="6404" w:hanging="360"/>
      </w:pPr>
      <w:rPr>
        <w:rFonts w:ascii="Courier New" w:hAnsi="Courier New" w:cs="Courier New" w:hint="default"/>
      </w:rPr>
    </w:lvl>
    <w:lvl w:ilvl="8" w:tplc="08130005">
      <w:start w:val="1"/>
      <w:numFmt w:val="bullet"/>
      <w:lvlText w:val=""/>
      <w:lvlJc w:val="left"/>
      <w:pPr>
        <w:ind w:left="7124" w:hanging="360"/>
      </w:pPr>
      <w:rPr>
        <w:rFonts w:ascii="Wingdings" w:hAnsi="Wingdings" w:hint="default"/>
      </w:rPr>
    </w:lvl>
  </w:abstractNum>
  <w:abstractNum w:abstractNumId="4" w15:restartNumberingAfterBreak="0">
    <w:nsid w:val="58073F1E"/>
    <w:multiLevelType w:val="hybridMultilevel"/>
    <w:tmpl w:val="2E2E094E"/>
    <w:lvl w:ilvl="0" w:tplc="45622546">
      <w:start w:val="1"/>
      <w:numFmt w:val="bull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start w:val="1"/>
      <w:numFmt w:val="lowerRoman"/>
      <w:lvlText w:val="%3."/>
      <w:lvlJc w:val="right"/>
      <w:pPr>
        <w:ind w:left="2444" w:hanging="180"/>
      </w:pPr>
    </w:lvl>
    <w:lvl w:ilvl="3" w:tplc="0813000F">
      <w:start w:val="1"/>
      <w:numFmt w:val="decimal"/>
      <w:lvlText w:val="%4."/>
      <w:lvlJc w:val="left"/>
      <w:pPr>
        <w:ind w:left="3164" w:hanging="360"/>
      </w:pPr>
    </w:lvl>
    <w:lvl w:ilvl="4" w:tplc="08130019">
      <w:start w:val="1"/>
      <w:numFmt w:val="lowerLetter"/>
      <w:lvlText w:val="%5."/>
      <w:lvlJc w:val="left"/>
      <w:pPr>
        <w:ind w:left="3884" w:hanging="360"/>
      </w:pPr>
    </w:lvl>
    <w:lvl w:ilvl="5" w:tplc="0813001B">
      <w:start w:val="1"/>
      <w:numFmt w:val="lowerRoman"/>
      <w:lvlText w:val="%6."/>
      <w:lvlJc w:val="right"/>
      <w:pPr>
        <w:ind w:left="4604" w:hanging="180"/>
      </w:pPr>
    </w:lvl>
    <w:lvl w:ilvl="6" w:tplc="0813000F">
      <w:start w:val="1"/>
      <w:numFmt w:val="decimal"/>
      <w:lvlText w:val="%7."/>
      <w:lvlJc w:val="left"/>
      <w:pPr>
        <w:ind w:left="5324" w:hanging="360"/>
      </w:pPr>
    </w:lvl>
    <w:lvl w:ilvl="7" w:tplc="08130019">
      <w:start w:val="1"/>
      <w:numFmt w:val="lowerLetter"/>
      <w:lvlText w:val="%8."/>
      <w:lvlJc w:val="left"/>
      <w:pPr>
        <w:ind w:left="6044" w:hanging="360"/>
      </w:pPr>
    </w:lvl>
    <w:lvl w:ilvl="8" w:tplc="0813001B">
      <w:start w:val="1"/>
      <w:numFmt w:val="lowerRoman"/>
      <w:lvlText w:val="%9."/>
      <w:lvlJc w:val="right"/>
      <w:pPr>
        <w:ind w:left="6764" w:hanging="180"/>
      </w:pPr>
    </w:lvl>
  </w:abstractNum>
  <w:num w:numId="1" w16cid:durableId="2071463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455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692130">
    <w:abstractNumId w:val="3"/>
  </w:num>
  <w:num w:numId="4" w16cid:durableId="2128811241">
    <w:abstractNumId w:val="2"/>
  </w:num>
  <w:num w:numId="5" w16cid:durableId="1629431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CF"/>
    <w:rsid w:val="000E3DCC"/>
    <w:rsid w:val="001C4868"/>
    <w:rsid w:val="003277E2"/>
    <w:rsid w:val="00386283"/>
    <w:rsid w:val="003A413E"/>
    <w:rsid w:val="003F76E0"/>
    <w:rsid w:val="00420D39"/>
    <w:rsid w:val="00431FE6"/>
    <w:rsid w:val="004930F8"/>
    <w:rsid w:val="004C719B"/>
    <w:rsid w:val="00504FEE"/>
    <w:rsid w:val="005D459E"/>
    <w:rsid w:val="005D52CF"/>
    <w:rsid w:val="006456BA"/>
    <w:rsid w:val="006909CE"/>
    <w:rsid w:val="006918B8"/>
    <w:rsid w:val="006F7C89"/>
    <w:rsid w:val="00701D98"/>
    <w:rsid w:val="00750A87"/>
    <w:rsid w:val="00811FCF"/>
    <w:rsid w:val="008749E5"/>
    <w:rsid w:val="00957DFD"/>
    <w:rsid w:val="00A072A6"/>
    <w:rsid w:val="00A2576C"/>
    <w:rsid w:val="00A536BD"/>
    <w:rsid w:val="00AA4483"/>
    <w:rsid w:val="00AD06E6"/>
    <w:rsid w:val="00BB7BF4"/>
    <w:rsid w:val="00C529F4"/>
    <w:rsid w:val="00C85DA3"/>
    <w:rsid w:val="00C951FA"/>
    <w:rsid w:val="00D76528"/>
    <w:rsid w:val="00D85593"/>
    <w:rsid w:val="00D92C64"/>
    <w:rsid w:val="00E211C5"/>
    <w:rsid w:val="00E42D09"/>
    <w:rsid w:val="00E85768"/>
    <w:rsid w:val="00F23DC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1AC6"/>
  <w15:chartTrackingRefBased/>
  <w15:docId w15:val="{62116C45-2DCC-4008-99ED-0DEF18E2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CE"/>
    <w:pPr>
      <w:widowControl w:val="0"/>
      <w:autoSpaceDE w:val="0"/>
      <w:autoSpaceDN w:val="0"/>
      <w:adjustRightInd w:val="0"/>
      <w:spacing w:after="120" w:line="276" w:lineRule="auto"/>
    </w:pPr>
    <w:rPr>
      <w:rFonts w:ascii="Arial" w:eastAsiaTheme="minorEastAsia" w:hAnsi="Arial" w:cs="Arial"/>
      <w:color w:val="000000" w:themeColor="text1"/>
      <w:kern w:val="0"/>
      <w:lang w:val="nl-BE" w:eastAsia="nl-NL"/>
      <w14:ligatures w14:val="none"/>
    </w:rPr>
  </w:style>
  <w:style w:type="paragraph" w:styleId="Heading1">
    <w:name w:val="heading 1"/>
    <w:basedOn w:val="Normal"/>
    <w:next w:val="Normal"/>
    <w:link w:val="Heading1Char"/>
    <w:uiPriority w:val="9"/>
    <w:qFormat/>
    <w:rsid w:val="006909CE"/>
    <w:pPr>
      <w:numPr>
        <w:numId w:val="1"/>
      </w:numPr>
      <w:spacing w:before="240" w:after="360" w:line="240" w:lineRule="auto"/>
      <w:outlineLvl w:val="0"/>
    </w:pPr>
    <w:rPr>
      <w:rFonts w:ascii="Verdana" w:hAnsi="Verdana"/>
      <w:b/>
      <w:color w:val="F0801A"/>
      <w:sz w:val="36"/>
      <w:szCs w:val="36"/>
      <w:lang w:val="en-US"/>
    </w:rPr>
  </w:style>
  <w:style w:type="paragraph" w:styleId="Heading2">
    <w:name w:val="heading 2"/>
    <w:basedOn w:val="Normal"/>
    <w:next w:val="Normal"/>
    <w:link w:val="Heading2Char"/>
    <w:uiPriority w:val="9"/>
    <w:semiHidden/>
    <w:unhideWhenUsed/>
    <w:qFormat/>
    <w:rsid w:val="006909CE"/>
    <w:pPr>
      <w:numPr>
        <w:ilvl w:val="1"/>
        <w:numId w:val="1"/>
      </w:numPr>
      <w:spacing w:before="480"/>
      <w:outlineLvl w:val="1"/>
    </w:pPr>
    <w:rPr>
      <w:rFonts w:ascii="Verdana" w:hAnsi="Verdana"/>
      <w:b/>
      <w:bCs/>
      <w:color w:val="ED7D31" w:themeColor="accent2"/>
      <w:sz w:val="32"/>
      <w:szCs w:val="32"/>
    </w:rPr>
  </w:style>
  <w:style w:type="paragraph" w:styleId="Heading3">
    <w:name w:val="heading 3"/>
    <w:basedOn w:val="Normal"/>
    <w:next w:val="Normal"/>
    <w:link w:val="Heading3Char"/>
    <w:uiPriority w:val="9"/>
    <w:semiHidden/>
    <w:unhideWhenUsed/>
    <w:qFormat/>
    <w:rsid w:val="006909CE"/>
    <w:pPr>
      <w:numPr>
        <w:ilvl w:val="2"/>
        <w:numId w:val="1"/>
      </w:numPr>
      <w:spacing w:before="320"/>
      <w:outlineLvl w:val="2"/>
    </w:pPr>
    <w:rPr>
      <w:rFonts w:ascii="Verdana" w:hAnsi="Verdana"/>
      <w:b/>
      <w:sz w:val="28"/>
      <w:szCs w:val="28"/>
    </w:rPr>
  </w:style>
  <w:style w:type="paragraph" w:styleId="Heading4">
    <w:name w:val="heading 4"/>
    <w:basedOn w:val="Heading3"/>
    <w:next w:val="Normal"/>
    <w:link w:val="Heading4Char"/>
    <w:uiPriority w:val="9"/>
    <w:semiHidden/>
    <w:unhideWhenUsed/>
    <w:qFormat/>
    <w:rsid w:val="006909CE"/>
    <w:pPr>
      <w:numPr>
        <w:ilvl w:val="3"/>
      </w:numPr>
      <w:outlineLvl w:val="3"/>
    </w:pPr>
    <w:rPr>
      <w:sz w:val="24"/>
      <w:szCs w:val="24"/>
    </w:rPr>
  </w:style>
  <w:style w:type="paragraph" w:styleId="Heading5">
    <w:name w:val="heading 5"/>
    <w:basedOn w:val="Normal"/>
    <w:next w:val="Normal"/>
    <w:link w:val="Heading5Char"/>
    <w:uiPriority w:val="9"/>
    <w:semiHidden/>
    <w:unhideWhenUsed/>
    <w:qFormat/>
    <w:rsid w:val="006909CE"/>
    <w:pPr>
      <w:keepNext/>
      <w:keepLines/>
      <w:numPr>
        <w:ilvl w:val="4"/>
        <w:numId w:val="1"/>
      </w:numPr>
      <w:spacing w:before="280" w:after="80"/>
      <w:outlineLvl w:val="4"/>
    </w:pPr>
    <w:rPr>
      <w:rFonts w:ascii="Verdana" w:eastAsiaTheme="majorEastAsia" w:hAnsi="Verdana" w:cstheme="majorBidi"/>
      <w:b/>
    </w:rPr>
  </w:style>
  <w:style w:type="paragraph" w:styleId="Heading6">
    <w:name w:val="heading 6"/>
    <w:basedOn w:val="Normal"/>
    <w:next w:val="Normal"/>
    <w:link w:val="Heading6Char"/>
    <w:uiPriority w:val="9"/>
    <w:semiHidden/>
    <w:unhideWhenUsed/>
    <w:qFormat/>
    <w:rsid w:val="006909CE"/>
    <w:pPr>
      <w:keepNext/>
      <w:keepLines/>
      <w:numPr>
        <w:ilvl w:val="5"/>
        <w:numId w:val="1"/>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semiHidden/>
    <w:unhideWhenUsed/>
    <w:qFormat/>
    <w:rsid w:val="006909CE"/>
    <w:pPr>
      <w:keepNext/>
      <w:keepLines/>
      <w:numPr>
        <w:ilvl w:val="6"/>
        <w:numId w:val="1"/>
      </w:numPr>
      <w:spacing w:before="240" w:after="40"/>
      <w:outlineLvl w:val="6"/>
    </w:pPr>
    <w:rPr>
      <w:rFonts w:ascii="Verdana" w:eastAsiaTheme="majorEastAsia" w:hAnsi="Verdana" w:cstheme="majorBidi"/>
      <w:b/>
      <w:bCs/>
      <w:i/>
      <w:sz w:val="18"/>
      <w:szCs w:val="18"/>
    </w:rPr>
  </w:style>
  <w:style w:type="paragraph" w:styleId="Heading8">
    <w:name w:val="heading 8"/>
    <w:basedOn w:val="Normal"/>
    <w:next w:val="Normal"/>
    <w:link w:val="Heading8Char"/>
    <w:uiPriority w:val="9"/>
    <w:semiHidden/>
    <w:unhideWhenUsed/>
    <w:qFormat/>
    <w:rsid w:val="006909CE"/>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6909CE"/>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9CE"/>
    <w:rPr>
      <w:rFonts w:ascii="Verdana" w:eastAsiaTheme="minorEastAsia" w:hAnsi="Verdana" w:cs="Arial"/>
      <w:b/>
      <w:color w:val="F0801A"/>
      <w:kern w:val="0"/>
      <w:sz w:val="36"/>
      <w:szCs w:val="36"/>
      <w:lang w:val="en-US" w:eastAsia="nl-NL"/>
      <w14:ligatures w14:val="none"/>
    </w:rPr>
  </w:style>
  <w:style w:type="character" w:customStyle="1" w:styleId="Heading2Char">
    <w:name w:val="Heading 2 Char"/>
    <w:basedOn w:val="DefaultParagraphFont"/>
    <w:link w:val="Heading2"/>
    <w:uiPriority w:val="9"/>
    <w:semiHidden/>
    <w:rsid w:val="006909CE"/>
    <w:rPr>
      <w:rFonts w:ascii="Verdana" w:eastAsiaTheme="minorEastAsia" w:hAnsi="Verdana" w:cs="Arial"/>
      <w:b/>
      <w:bCs/>
      <w:color w:val="ED7D31" w:themeColor="accent2"/>
      <w:kern w:val="0"/>
      <w:sz w:val="32"/>
      <w:szCs w:val="32"/>
      <w:lang w:val="nl-BE" w:eastAsia="nl-NL"/>
      <w14:ligatures w14:val="none"/>
    </w:rPr>
  </w:style>
  <w:style w:type="character" w:customStyle="1" w:styleId="Heading3Char">
    <w:name w:val="Heading 3 Char"/>
    <w:basedOn w:val="DefaultParagraphFont"/>
    <w:link w:val="Heading3"/>
    <w:uiPriority w:val="9"/>
    <w:semiHidden/>
    <w:rsid w:val="006909CE"/>
    <w:rPr>
      <w:rFonts w:ascii="Verdana" w:eastAsiaTheme="minorEastAsia" w:hAnsi="Verdana" w:cs="Arial"/>
      <w:b/>
      <w:color w:val="000000" w:themeColor="text1"/>
      <w:kern w:val="0"/>
      <w:sz w:val="28"/>
      <w:szCs w:val="28"/>
      <w:lang w:val="nl-BE" w:eastAsia="nl-NL"/>
      <w14:ligatures w14:val="none"/>
    </w:rPr>
  </w:style>
  <w:style w:type="character" w:customStyle="1" w:styleId="Heading4Char">
    <w:name w:val="Heading 4 Char"/>
    <w:basedOn w:val="DefaultParagraphFont"/>
    <w:link w:val="Heading4"/>
    <w:uiPriority w:val="9"/>
    <w:semiHidden/>
    <w:rsid w:val="006909CE"/>
    <w:rPr>
      <w:rFonts w:ascii="Verdana" w:eastAsiaTheme="minorEastAsia" w:hAnsi="Verdana" w:cs="Arial"/>
      <w:b/>
      <w:color w:val="000000" w:themeColor="text1"/>
      <w:kern w:val="0"/>
      <w:sz w:val="24"/>
      <w:szCs w:val="24"/>
      <w:lang w:val="nl-BE" w:eastAsia="nl-NL"/>
      <w14:ligatures w14:val="none"/>
    </w:rPr>
  </w:style>
  <w:style w:type="character" w:customStyle="1" w:styleId="Heading5Char">
    <w:name w:val="Heading 5 Char"/>
    <w:basedOn w:val="DefaultParagraphFont"/>
    <w:link w:val="Heading5"/>
    <w:uiPriority w:val="9"/>
    <w:semiHidden/>
    <w:rsid w:val="006909CE"/>
    <w:rPr>
      <w:rFonts w:ascii="Verdana" w:eastAsiaTheme="majorEastAsia" w:hAnsi="Verdana" w:cstheme="majorBidi"/>
      <w:b/>
      <w:color w:val="000000" w:themeColor="text1"/>
      <w:kern w:val="0"/>
      <w:lang w:val="nl-BE" w:eastAsia="nl-NL"/>
      <w14:ligatures w14:val="none"/>
    </w:rPr>
  </w:style>
  <w:style w:type="character" w:customStyle="1" w:styleId="Heading6Char">
    <w:name w:val="Heading 6 Char"/>
    <w:basedOn w:val="DefaultParagraphFont"/>
    <w:link w:val="Heading6"/>
    <w:uiPriority w:val="9"/>
    <w:semiHidden/>
    <w:rsid w:val="006909CE"/>
    <w:rPr>
      <w:rFonts w:ascii="Verdana" w:eastAsiaTheme="majorEastAsia" w:hAnsi="Verdana" w:cstheme="majorBidi"/>
      <w:b/>
      <w:bCs/>
      <w:color w:val="000000" w:themeColor="text1"/>
      <w:kern w:val="0"/>
      <w:sz w:val="20"/>
      <w:szCs w:val="20"/>
      <w:lang w:val="nl-BE" w:eastAsia="nl-NL"/>
      <w14:ligatures w14:val="none"/>
    </w:rPr>
  </w:style>
  <w:style w:type="character" w:customStyle="1" w:styleId="Heading7Char">
    <w:name w:val="Heading 7 Char"/>
    <w:basedOn w:val="DefaultParagraphFont"/>
    <w:link w:val="Heading7"/>
    <w:uiPriority w:val="9"/>
    <w:semiHidden/>
    <w:rsid w:val="006909CE"/>
    <w:rPr>
      <w:rFonts w:ascii="Verdana" w:eastAsiaTheme="majorEastAsia" w:hAnsi="Verdana" w:cstheme="majorBidi"/>
      <w:b/>
      <w:bCs/>
      <w:i/>
      <w:color w:val="000000" w:themeColor="text1"/>
      <w:kern w:val="0"/>
      <w:sz w:val="18"/>
      <w:szCs w:val="18"/>
      <w:lang w:val="nl-BE" w:eastAsia="nl-NL"/>
      <w14:ligatures w14:val="none"/>
    </w:rPr>
  </w:style>
  <w:style w:type="character" w:customStyle="1" w:styleId="Heading8Char">
    <w:name w:val="Heading 8 Char"/>
    <w:basedOn w:val="DefaultParagraphFont"/>
    <w:link w:val="Heading8"/>
    <w:uiPriority w:val="9"/>
    <w:semiHidden/>
    <w:rsid w:val="006909CE"/>
    <w:rPr>
      <w:rFonts w:ascii="Arial" w:eastAsiaTheme="majorEastAsia" w:hAnsi="Arial" w:cstheme="majorBidi"/>
      <w:b/>
      <w:bCs/>
      <w:color w:val="000000" w:themeColor="text1"/>
      <w:kern w:val="0"/>
      <w:sz w:val="20"/>
      <w:szCs w:val="21"/>
      <w:lang w:val="nl-BE" w:eastAsia="nl-NL"/>
      <w14:ligatures w14:val="none"/>
    </w:rPr>
  </w:style>
  <w:style w:type="character" w:customStyle="1" w:styleId="Heading9Char">
    <w:name w:val="Heading 9 Char"/>
    <w:basedOn w:val="DefaultParagraphFont"/>
    <w:link w:val="Heading9"/>
    <w:uiPriority w:val="9"/>
    <w:semiHidden/>
    <w:rsid w:val="006909CE"/>
    <w:rPr>
      <w:rFonts w:ascii="Arial" w:eastAsiaTheme="majorEastAsia" w:hAnsi="Arial" w:cstheme="majorBidi"/>
      <w:b/>
      <w:bCs/>
      <w:color w:val="000000" w:themeColor="text1"/>
      <w:kern w:val="0"/>
      <w:sz w:val="20"/>
      <w:szCs w:val="21"/>
      <w:lang w:val="nl-BE" w:eastAsia="nl-NL"/>
      <w14:ligatures w14:val="none"/>
    </w:rPr>
  </w:style>
  <w:style w:type="character" w:customStyle="1" w:styleId="ListParaSANSTIRChar">
    <w:name w:val="ListParaSANSTIR Char"/>
    <w:basedOn w:val="DefaultParagraphFont"/>
    <w:link w:val="ListParaSANSTIR"/>
    <w:locked/>
    <w:rsid w:val="006909CE"/>
    <w:rPr>
      <w:rFonts w:ascii="Verdana" w:eastAsia="Arial" w:hAnsi="Verdana" w:cs="Arial"/>
      <w:color w:val="000000" w:themeColor="text1"/>
      <w:sz w:val="18"/>
      <w:lang w:eastAsia="nl-NL"/>
    </w:rPr>
  </w:style>
  <w:style w:type="paragraph" w:customStyle="1" w:styleId="ListParaSANSTIR">
    <w:name w:val="ListParaSANSTIR"/>
    <w:basedOn w:val="ListParagraph"/>
    <w:link w:val="ListParaSANSTIRChar"/>
    <w:qFormat/>
    <w:rsid w:val="006909CE"/>
    <w:pPr>
      <w:ind w:left="851"/>
      <w:contextualSpacing w:val="0"/>
      <w:jc w:val="both"/>
    </w:pPr>
    <w:rPr>
      <w:rFonts w:ascii="Verdana" w:eastAsia="Arial" w:hAnsi="Verdana"/>
      <w:kern w:val="2"/>
      <w:sz w:val="18"/>
      <w:lang w:val="en-BE"/>
      <w14:ligatures w14:val="standardContextual"/>
    </w:rPr>
  </w:style>
  <w:style w:type="character" w:customStyle="1" w:styleId="ListParagraphTIRETChar">
    <w:name w:val="List ParagraphTIRET Char"/>
    <w:basedOn w:val="DefaultParagraphFont"/>
    <w:link w:val="ListParagraphTIRET"/>
    <w:uiPriority w:val="1"/>
    <w:locked/>
    <w:rsid w:val="006909CE"/>
    <w:rPr>
      <w:rFonts w:ascii="Verdana" w:eastAsia="Arial" w:hAnsi="Verdana" w:cs="Arial"/>
      <w:color w:val="000000" w:themeColor="text1"/>
      <w:sz w:val="18"/>
      <w:lang w:eastAsia="nl-NL"/>
    </w:rPr>
  </w:style>
  <w:style w:type="paragraph" w:customStyle="1" w:styleId="ListParagraphTIRET">
    <w:name w:val="List ParagraphTIRET"/>
    <w:basedOn w:val="Normal"/>
    <w:link w:val="ListParagraphTIRETChar"/>
    <w:uiPriority w:val="1"/>
    <w:qFormat/>
    <w:rsid w:val="006909CE"/>
    <w:pPr>
      <w:widowControl/>
      <w:autoSpaceDE/>
      <w:autoSpaceDN/>
      <w:adjustRightInd/>
      <w:spacing w:after="240" w:line="256" w:lineRule="auto"/>
      <w:ind w:left="1212" w:hanging="360"/>
      <w:jc w:val="both"/>
    </w:pPr>
    <w:rPr>
      <w:rFonts w:ascii="Verdana" w:eastAsia="Arial" w:hAnsi="Verdana"/>
      <w:kern w:val="2"/>
      <w:sz w:val="18"/>
      <w:lang w:val="en-BE"/>
      <w14:ligatures w14:val="standardContextual"/>
    </w:rPr>
  </w:style>
  <w:style w:type="paragraph" w:styleId="ListParagraph">
    <w:name w:val="List Paragraph"/>
    <w:basedOn w:val="Normal"/>
    <w:uiPriority w:val="34"/>
    <w:qFormat/>
    <w:rsid w:val="006909CE"/>
    <w:pPr>
      <w:ind w:left="720"/>
      <w:contextualSpacing/>
    </w:pPr>
  </w:style>
  <w:style w:type="numbering" w:customStyle="1" w:styleId="Huidigelijst1">
    <w:name w:val="Huidige lijst1"/>
    <w:uiPriority w:val="99"/>
    <w:rsid w:val="006F7C89"/>
    <w:pPr>
      <w:numPr>
        <w:numId w:val="4"/>
      </w:numPr>
    </w:pPr>
  </w:style>
  <w:style w:type="paragraph" w:styleId="FootnoteText">
    <w:name w:val="footnote text"/>
    <w:basedOn w:val="Normal"/>
    <w:link w:val="FootnoteTextChar"/>
    <w:unhideWhenUsed/>
    <w:rsid w:val="006F7C89"/>
    <w:pPr>
      <w:spacing w:after="0" w:line="240" w:lineRule="auto"/>
      <w:textAlignment w:val="center"/>
    </w:pPr>
    <w:rPr>
      <w:sz w:val="20"/>
      <w:szCs w:val="20"/>
      <w:lang w:val="nl-NL"/>
    </w:rPr>
  </w:style>
  <w:style w:type="character" w:customStyle="1" w:styleId="FootnoteTextChar">
    <w:name w:val="Footnote Text Char"/>
    <w:basedOn w:val="DefaultParagraphFont"/>
    <w:link w:val="FootnoteText"/>
    <w:rsid w:val="006F7C89"/>
    <w:rPr>
      <w:rFonts w:ascii="Arial" w:eastAsiaTheme="minorEastAsia" w:hAnsi="Arial" w:cs="Arial"/>
      <w:color w:val="000000" w:themeColor="text1"/>
      <w:kern w:val="0"/>
      <w:sz w:val="20"/>
      <w:szCs w:val="20"/>
      <w:lang w:val="nl-NL" w:eastAsia="nl-NL"/>
      <w14:ligatures w14:val="none"/>
    </w:rPr>
  </w:style>
  <w:style w:type="character" w:styleId="FootnoteReference">
    <w:name w:val="footnote reference"/>
    <w:basedOn w:val="DefaultParagraphFont"/>
    <w:uiPriority w:val="99"/>
    <w:unhideWhenUsed/>
    <w:rsid w:val="006F7C89"/>
    <w:rPr>
      <w:vertAlign w:val="superscript"/>
    </w:rPr>
  </w:style>
  <w:style w:type="paragraph" w:customStyle="1" w:styleId="francasansnum">
    <w:name w:val="francasans num"/>
    <w:basedOn w:val="Normal"/>
    <w:link w:val="francasansnumChar"/>
    <w:qFormat/>
    <w:rsid w:val="006F7C89"/>
    <w:pPr>
      <w:spacing w:after="240"/>
      <w:ind w:left="567"/>
      <w:jc w:val="both"/>
      <w:textAlignment w:val="center"/>
    </w:pPr>
    <w:rPr>
      <w:rFonts w:ascii="Verdana" w:eastAsiaTheme="minorHAnsi" w:hAnsi="Verdana" w:cstheme="minorBidi"/>
      <w:color w:val="000000"/>
      <w:sz w:val="18"/>
      <w:szCs w:val="18"/>
      <w:lang w:eastAsia="en-US"/>
    </w:rPr>
  </w:style>
  <w:style w:type="character" w:customStyle="1" w:styleId="francasansnumChar">
    <w:name w:val="francasans num Char"/>
    <w:basedOn w:val="DefaultParagraphFont"/>
    <w:link w:val="francasansnum"/>
    <w:rsid w:val="006F7C89"/>
    <w:rPr>
      <w:rFonts w:ascii="Verdana" w:hAnsi="Verdana"/>
      <w:color w:val="000000"/>
      <w:kern w:val="0"/>
      <w:sz w:val="18"/>
      <w:szCs w:val="18"/>
      <w:lang w:val="nl-BE"/>
      <w14:ligatures w14:val="none"/>
    </w:rPr>
  </w:style>
  <w:style w:type="paragraph" w:styleId="Header">
    <w:name w:val="header"/>
    <w:basedOn w:val="Normal"/>
    <w:link w:val="HeaderChar"/>
    <w:uiPriority w:val="99"/>
    <w:semiHidden/>
    <w:unhideWhenUsed/>
    <w:rsid w:val="00D92C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2C64"/>
    <w:rPr>
      <w:rFonts w:ascii="Arial" w:eastAsiaTheme="minorEastAsia" w:hAnsi="Arial" w:cs="Arial"/>
      <w:color w:val="000000" w:themeColor="text1"/>
      <w:kern w:val="0"/>
      <w:lang w:val="nl-BE" w:eastAsia="nl-NL"/>
      <w14:ligatures w14:val="none"/>
    </w:rPr>
  </w:style>
  <w:style w:type="paragraph" w:styleId="Footer">
    <w:name w:val="footer"/>
    <w:basedOn w:val="Normal"/>
    <w:link w:val="FooterChar"/>
    <w:uiPriority w:val="99"/>
    <w:semiHidden/>
    <w:unhideWhenUsed/>
    <w:rsid w:val="00D92C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2C64"/>
    <w:rPr>
      <w:rFonts w:ascii="Arial" w:eastAsiaTheme="minorEastAsia" w:hAnsi="Arial" w:cs="Arial"/>
      <w:color w:val="000000" w:themeColor="text1"/>
      <w:kern w:val="0"/>
      <w:lang w:val="nl-BE" w:eastAsia="nl-NL"/>
      <w14:ligatures w14:val="none"/>
    </w:rPr>
  </w:style>
  <w:style w:type="character" w:styleId="CommentReference">
    <w:name w:val="annotation reference"/>
    <w:basedOn w:val="DefaultParagraphFont"/>
    <w:uiPriority w:val="99"/>
    <w:semiHidden/>
    <w:unhideWhenUsed/>
    <w:rsid w:val="001C4868"/>
    <w:rPr>
      <w:sz w:val="16"/>
      <w:szCs w:val="16"/>
    </w:rPr>
  </w:style>
  <w:style w:type="paragraph" w:styleId="CommentText">
    <w:name w:val="annotation text"/>
    <w:basedOn w:val="Normal"/>
    <w:link w:val="CommentTextChar"/>
    <w:uiPriority w:val="99"/>
    <w:unhideWhenUsed/>
    <w:rsid w:val="001C4868"/>
    <w:pPr>
      <w:spacing w:line="240" w:lineRule="auto"/>
    </w:pPr>
    <w:rPr>
      <w:sz w:val="20"/>
      <w:szCs w:val="20"/>
    </w:rPr>
  </w:style>
  <w:style w:type="character" w:customStyle="1" w:styleId="CommentTextChar">
    <w:name w:val="Comment Text Char"/>
    <w:basedOn w:val="DefaultParagraphFont"/>
    <w:link w:val="CommentText"/>
    <w:uiPriority w:val="99"/>
    <w:rsid w:val="001C4868"/>
    <w:rPr>
      <w:rFonts w:ascii="Arial" w:eastAsiaTheme="minorEastAsia" w:hAnsi="Arial" w:cs="Arial"/>
      <w:color w:val="000000" w:themeColor="text1"/>
      <w:kern w:val="0"/>
      <w:sz w:val="20"/>
      <w:szCs w:val="20"/>
      <w:lang w:val="nl-BE" w:eastAsia="nl-NL"/>
      <w14:ligatures w14:val="none"/>
    </w:rPr>
  </w:style>
  <w:style w:type="paragraph" w:styleId="CommentSubject">
    <w:name w:val="annotation subject"/>
    <w:basedOn w:val="CommentText"/>
    <w:next w:val="CommentText"/>
    <w:link w:val="CommentSubjectChar"/>
    <w:uiPriority w:val="99"/>
    <w:semiHidden/>
    <w:unhideWhenUsed/>
    <w:rsid w:val="001C4868"/>
    <w:rPr>
      <w:b/>
      <w:bCs/>
    </w:rPr>
  </w:style>
  <w:style w:type="character" w:customStyle="1" w:styleId="CommentSubjectChar">
    <w:name w:val="Comment Subject Char"/>
    <w:basedOn w:val="CommentTextChar"/>
    <w:link w:val="CommentSubject"/>
    <w:uiPriority w:val="99"/>
    <w:semiHidden/>
    <w:rsid w:val="001C4868"/>
    <w:rPr>
      <w:rFonts w:ascii="Arial" w:eastAsiaTheme="minorEastAsia" w:hAnsi="Arial" w:cs="Arial"/>
      <w:b/>
      <w:bCs/>
      <w:color w:val="000000" w:themeColor="text1"/>
      <w:kern w:val="0"/>
      <w:sz w:val="20"/>
      <w:szCs w:val="20"/>
      <w:lang w:val="nl-BE"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2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52bfcb8-bce2-4279-b723-8ab1d206d088"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PROJ-1335495802-365395</_dlc_DocId>
    <_dlc_DocIdUrl xmlns="558a9e46-25ac-4d3a-8ff6-744d3be1bed2">
      <Url>https://eliagroup.sharepoint.com/sites/Projects/AMD/_layouts/15/DocIdRedir.aspx?ID=PROJ-1335495802-365395</Url>
      <Description>PROJ-1335495802-365395</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04CB0-AAC2-4577-A1A8-FAD0626F9E9A}">
  <ds:schemaRefs>
    <ds:schemaRef ds:uri="Microsoft.SharePoint.Taxonomy.ContentTypeSync"/>
  </ds:schemaRefs>
</ds:datastoreItem>
</file>

<file path=customXml/itemProps2.xml><?xml version="1.0" encoding="utf-8"?>
<ds:datastoreItem xmlns:ds="http://schemas.openxmlformats.org/officeDocument/2006/customXml" ds:itemID="{BA3C36E4-5DB2-419D-8F78-EBC7834E347A}">
  <ds:schemaRefs>
    <ds:schemaRef ds:uri="http://schemas.microsoft.com/sharepoint/events"/>
  </ds:schemaRefs>
</ds:datastoreItem>
</file>

<file path=customXml/itemProps3.xml><?xml version="1.0" encoding="utf-8"?>
<ds:datastoreItem xmlns:ds="http://schemas.openxmlformats.org/officeDocument/2006/customXml" ds:itemID="{9B7EA5BA-D47B-425C-9875-1382C9920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EEB57-78CC-4284-AFE1-01A0343423F7}">
  <ds:schemaRefs>
    <ds:schemaRef ds:uri="http://schemas.microsoft.com/office/infopath/2007/PartnerControls"/>
    <ds:schemaRef ds:uri="http://purl.org/dc/terms/"/>
    <ds:schemaRef ds:uri="356b60d0-3427-47ef-8b6c-7dcbd63bc971"/>
    <ds:schemaRef ds:uri="http://purl.org/dc/elements/1.1/"/>
    <ds:schemaRef ds:uri="http://schemas.microsoft.com/office/2006/metadata/properties"/>
    <ds:schemaRef ds:uri="7d516e08-eef4-4b31-b689-43d25e16a01e"/>
    <ds:schemaRef ds:uri="http://purl.org/dc/dcmitype/"/>
    <ds:schemaRef ds:uri="http://schemas.openxmlformats.org/package/2006/metadata/core-properties"/>
    <ds:schemaRef ds:uri="558a9e46-25ac-4d3a-8ff6-744d3be1bed2"/>
    <ds:schemaRef ds:uri="http://schemas.microsoft.com/office/2006/documentManagement/types"/>
    <ds:schemaRef ds:uri="0965aefd-7da9-4fb3-a146-752caa5aef9d"/>
    <ds:schemaRef ds:uri="518e90e8-ea09-4ab7-8875-1906d0bac9c7"/>
    <ds:schemaRef ds:uri="http://www.w3.org/XML/1998/namespace"/>
  </ds:schemaRefs>
</ds:datastoreItem>
</file>

<file path=customXml/itemProps5.xml><?xml version="1.0" encoding="utf-8"?>
<ds:datastoreItem xmlns:ds="http://schemas.openxmlformats.org/officeDocument/2006/customXml" ds:itemID="{DF6051E4-FC9C-46D2-931C-8336FEC5C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Gérard Adrian (EXT)</cp:lastModifiedBy>
  <cp:revision>9</cp:revision>
  <cp:lastPrinted>2024-06-18T11:29:00Z</cp:lastPrinted>
  <dcterms:created xsi:type="dcterms:W3CDTF">2025-03-18T16:10:00Z</dcterms:created>
  <dcterms:modified xsi:type="dcterms:W3CDTF">2025-08-05T13:48:00Z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184ecd6d-a7f1-435c-9756-2204aaa178e4</vt:lpwstr>
  </property>
  <property fmtid="{D5CDD505-2E9C-101B-9397-08002B2CF9AE}" pid="4" name="MediaServiceImageTags">
    <vt:lpwstr/>
  </property>
  <property fmtid="{D5CDD505-2E9C-101B-9397-08002B2CF9AE}" pid="5" name="Storage period">
    <vt:lpwstr/>
  </property>
  <property fmtid="{D5CDD505-2E9C-101B-9397-08002B2CF9AE}" pid="6" name="Storage_x0020_period">
    <vt:lpwstr/>
  </property>
</Properties>
</file>