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D142" w14:textId="48942CE7" w:rsidR="00D36053" w:rsidRDefault="00D36053" w:rsidP="008C3A65">
      <w:pPr>
        <w:widowControl/>
        <w:autoSpaceDE/>
        <w:autoSpaceDN/>
        <w:adjustRightInd/>
        <w:spacing w:before="100" w:beforeAutospacing="1" w:after="100" w:afterAutospacing="1" w:line="264" w:lineRule="atLeast"/>
        <w:jc w:val="right"/>
        <w:textAlignment w:val="auto"/>
        <w:outlineLvl w:val="1"/>
        <w:rPr>
          <w:rFonts w:ascii="Verdana" w:eastAsia="Times New Roman" w:hAnsi="Verdana" w:cs="Times New Roman"/>
          <w:color w:val="5E6E76"/>
          <w:sz w:val="32"/>
          <w:szCs w:val="32"/>
          <w:lang w:val="en-US" w:eastAsia="nl-BE"/>
        </w:rPr>
      </w:pPr>
      <w:r>
        <w:rPr>
          <w:noProof/>
          <w:lang w:val="nl-BE" w:eastAsia="nl-BE"/>
        </w:rPr>
        <w:drawing>
          <wp:inline distT="0" distB="0" distL="0" distR="0" wp14:anchorId="0EF806F7" wp14:editId="5C2FE548">
            <wp:extent cx="1408430" cy="526415"/>
            <wp:effectExtent l="0" t="0" r="127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947D" w14:textId="77777777" w:rsidR="00D36053" w:rsidRPr="00D36053" w:rsidRDefault="00D36053" w:rsidP="00D36053">
      <w:pPr>
        <w:widowControl/>
        <w:autoSpaceDE/>
        <w:autoSpaceDN/>
        <w:adjustRightInd/>
        <w:spacing w:before="100" w:beforeAutospacing="1" w:after="100" w:afterAutospacing="1" w:line="264" w:lineRule="atLeast"/>
        <w:textAlignment w:val="auto"/>
        <w:outlineLvl w:val="1"/>
        <w:rPr>
          <w:rFonts w:ascii="Verdana" w:eastAsia="Times New Roman" w:hAnsi="Verdana" w:cs="Times New Roman"/>
          <w:color w:val="5E6E76"/>
          <w:sz w:val="32"/>
          <w:szCs w:val="32"/>
          <w:lang w:val="en-US" w:eastAsia="nl-BE"/>
        </w:rPr>
      </w:pPr>
      <w:r w:rsidRPr="00D36053">
        <w:rPr>
          <w:rFonts w:ascii="Verdana" w:eastAsia="Times New Roman" w:hAnsi="Verdana" w:cs="Times New Roman"/>
          <w:color w:val="5E6E76"/>
          <w:sz w:val="32"/>
          <w:szCs w:val="32"/>
          <w:lang w:val="en-US" w:eastAsia="nl-BE"/>
        </w:rPr>
        <w:t>Parties participating in Elia’s balancing services products</w:t>
      </w:r>
    </w:p>
    <w:p w14:paraId="54A54C23" w14:textId="77777777" w:rsidR="00D36053" w:rsidRPr="00D36053" w:rsidRDefault="00D36053" w:rsidP="00D36053">
      <w:pPr>
        <w:widowControl/>
        <w:autoSpaceDE/>
        <w:autoSpaceDN/>
        <w:adjustRightInd/>
        <w:spacing w:after="200" w:line="240" w:lineRule="auto"/>
        <w:textAlignment w:val="auto"/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</w:pPr>
      <w:r w:rsidRPr="00D36053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 xml:space="preserve">For some of Elia’s products (FCR, </w:t>
      </w:r>
      <w:r w:rsidR="002E12FA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 xml:space="preserve">aFRR and </w:t>
      </w:r>
      <w:r w:rsidR="00702DAE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>mFRR</w:t>
      </w:r>
      <w:r w:rsidRPr="00D36053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>), any entity wishing to offer its flexibility to Elia may choose to do so on its own or through a partnership with an entity who may aggregate several entities to offer the service to Elia.</w:t>
      </w:r>
    </w:p>
    <w:p w14:paraId="529BC6C0" w14:textId="77777777" w:rsidR="002D473A" w:rsidRDefault="00D36053" w:rsidP="002D473A">
      <w:pPr>
        <w:widowControl/>
        <w:autoSpaceDE/>
        <w:autoSpaceDN/>
        <w:adjustRightInd/>
        <w:spacing w:after="200" w:line="240" w:lineRule="auto"/>
        <w:textAlignment w:val="auto"/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</w:pPr>
      <w:r w:rsidRPr="00D36053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 xml:space="preserve">The following entities (Balancing Service Providers or BSP’s) have signed a </w:t>
      </w:r>
      <w:r w:rsidR="007F2F7D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>c</w:t>
      </w:r>
      <w:r w:rsidR="00702DAE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 xml:space="preserve">ontract </w:t>
      </w:r>
      <w:r w:rsidRPr="00D36053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>with Elia for the following products: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34"/>
      </w:tblGrid>
      <w:tr w:rsidR="002D473A" w14:paraId="2F2012A7" w14:textId="77777777" w:rsidTr="00685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D24A139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2D473A">
              <w:rPr>
                <w:rFonts w:ascii="Verdana" w:hAnsi="Verdana"/>
                <w:color w:val="848484"/>
                <w:sz w:val="18"/>
                <w:szCs w:val="18"/>
                <w:lang w:val="en-US"/>
              </w:rPr>
              <w:t> </w:t>
            </w: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Balance Service Provider (BSP)</w:t>
            </w:r>
          </w:p>
        </w:tc>
        <w:tc>
          <w:tcPr>
            <w:tcW w:w="1134" w:type="dxa"/>
          </w:tcPr>
          <w:p w14:paraId="4149C9A5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FCR</w:t>
            </w:r>
          </w:p>
        </w:tc>
        <w:tc>
          <w:tcPr>
            <w:tcW w:w="1134" w:type="dxa"/>
          </w:tcPr>
          <w:p w14:paraId="46C992C9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aFRR</w:t>
            </w:r>
          </w:p>
        </w:tc>
        <w:tc>
          <w:tcPr>
            <w:tcW w:w="1134" w:type="dxa"/>
          </w:tcPr>
          <w:p w14:paraId="3E110CAD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mFRR</w:t>
            </w:r>
          </w:p>
        </w:tc>
      </w:tr>
      <w:tr w:rsidR="002D473A" w14:paraId="43FFCE01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786748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Axpo Solutions AG</w:t>
            </w:r>
          </w:p>
        </w:tc>
        <w:tc>
          <w:tcPr>
            <w:tcW w:w="1134" w:type="dxa"/>
          </w:tcPr>
          <w:p w14:paraId="321F3476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722C5DB8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2B14474B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312E6086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78EDA53" w14:textId="77777777" w:rsidR="002D473A" w:rsidRPr="007D6CD0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Bnewable NV</w:t>
            </w:r>
          </w:p>
        </w:tc>
        <w:tc>
          <w:tcPr>
            <w:tcW w:w="1134" w:type="dxa"/>
          </w:tcPr>
          <w:p w14:paraId="4E5A7373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F0BDFAF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59145C6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2D473A" w14:paraId="59E6FD1F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B39B2DE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Centrica Business Solutions Belgium NV </w:t>
            </w:r>
          </w:p>
        </w:tc>
        <w:tc>
          <w:tcPr>
            <w:tcW w:w="1134" w:type="dxa"/>
          </w:tcPr>
          <w:p w14:paraId="4F8FE5B5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E6C42A5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A459160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49DE16EE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D8961CF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Eclipse SAS</w:t>
            </w:r>
          </w:p>
        </w:tc>
        <w:tc>
          <w:tcPr>
            <w:tcW w:w="1134" w:type="dxa"/>
          </w:tcPr>
          <w:p w14:paraId="6A7A09FA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66DDBC78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63944313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72848182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82278EF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Electrabel NV</w:t>
            </w:r>
          </w:p>
        </w:tc>
        <w:tc>
          <w:tcPr>
            <w:tcW w:w="1134" w:type="dxa"/>
          </w:tcPr>
          <w:p w14:paraId="0D8645D0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330FFFF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39D9C5C2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4910B829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06956DB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Eneco Energy Trade BV</w:t>
            </w:r>
          </w:p>
        </w:tc>
        <w:tc>
          <w:tcPr>
            <w:tcW w:w="1134" w:type="dxa"/>
          </w:tcPr>
          <w:p w14:paraId="4435E880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3254147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27462546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2AFBD800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175CC8C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Energy Pool Développement SAS</w:t>
            </w:r>
          </w:p>
        </w:tc>
        <w:tc>
          <w:tcPr>
            <w:tcW w:w="1134" w:type="dxa"/>
          </w:tcPr>
          <w:p w14:paraId="3F34CD8F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7BEB15A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19A6B1B3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12772DD2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A9A45C7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Flexcity</w:t>
            </w: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Belgium NV</w:t>
            </w:r>
          </w:p>
        </w:tc>
        <w:tc>
          <w:tcPr>
            <w:tcW w:w="1134" w:type="dxa"/>
          </w:tcPr>
          <w:p w14:paraId="2B73AB9A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F8AF14A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60575C27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050A963B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125891D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Lifepowr</w:t>
            </w:r>
            <w:r w:rsidRPr="000F1261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NV</w:t>
            </w:r>
          </w:p>
        </w:tc>
        <w:tc>
          <w:tcPr>
            <w:tcW w:w="1134" w:type="dxa"/>
          </w:tcPr>
          <w:p w14:paraId="1809DD60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4D7E7C6C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8782AB2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2D473A" w14:paraId="3BAD6A82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2320551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Luminus SA</w:t>
            </w:r>
          </w:p>
        </w:tc>
        <w:tc>
          <w:tcPr>
            <w:tcW w:w="1134" w:type="dxa"/>
          </w:tcPr>
          <w:p w14:paraId="5402AA86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554B612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1DD97D6C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48461F0B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6DBC1A4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BC303E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Nala Renewables Belgium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BV</w:t>
            </w:r>
          </w:p>
        </w:tc>
        <w:tc>
          <w:tcPr>
            <w:tcW w:w="1134" w:type="dxa"/>
          </w:tcPr>
          <w:p w14:paraId="37A05DD6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1E3CA97F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183F1CF2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2D473A" w14:paraId="53150002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521CC80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Next Kraftwerke GmbH</w:t>
            </w:r>
          </w:p>
        </w:tc>
        <w:tc>
          <w:tcPr>
            <w:tcW w:w="1134" w:type="dxa"/>
          </w:tcPr>
          <w:p w14:paraId="3CAF2CBB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2753E0CB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7E3A3F0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32BD907F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7AE340D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Oaktree Power Europe SA</w:t>
            </w:r>
          </w:p>
        </w:tc>
        <w:tc>
          <w:tcPr>
            <w:tcW w:w="1134" w:type="dxa"/>
          </w:tcPr>
          <w:p w14:paraId="210FC312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74BB560A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51E0A8EE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4994070D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D5D3067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RWE Supply &amp; Trading GmbH</w:t>
            </w:r>
          </w:p>
        </w:tc>
        <w:tc>
          <w:tcPr>
            <w:tcW w:w="1134" w:type="dxa"/>
          </w:tcPr>
          <w:p w14:paraId="6B16B835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1A5AC75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2BD5F13A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048265C4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EDF546A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Second Foundation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Trading AG</w:t>
            </w: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.</w:t>
            </w:r>
          </w:p>
        </w:tc>
        <w:tc>
          <w:tcPr>
            <w:tcW w:w="1134" w:type="dxa"/>
          </w:tcPr>
          <w:p w14:paraId="68B6466A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33B83D88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3E1D48E6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6A4A0A05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986CB40" w14:textId="77777777" w:rsidR="002D473A" w:rsidRPr="008C3A65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Smart@energy BV</w:t>
            </w:r>
          </w:p>
        </w:tc>
        <w:tc>
          <w:tcPr>
            <w:tcW w:w="1134" w:type="dxa"/>
          </w:tcPr>
          <w:p w14:paraId="63300ED2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45B56D73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C34A27A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2D473A" w14:paraId="37CCDCA7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56F4AA4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TotalEnergies Gas &amp; Power</w:t>
            </w:r>
          </w:p>
        </w:tc>
        <w:tc>
          <w:tcPr>
            <w:tcW w:w="1134" w:type="dxa"/>
          </w:tcPr>
          <w:p w14:paraId="098F53D7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5A9025E9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670B4E6F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0AC9F4DE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939D4D3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0F1261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TotalEnergies Power &amp; Gas Belgium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SA</w:t>
            </w:r>
          </w:p>
        </w:tc>
        <w:tc>
          <w:tcPr>
            <w:tcW w:w="1134" w:type="dxa"/>
          </w:tcPr>
          <w:p w14:paraId="4AA67A8B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FB802CE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15090A7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6E8C7EF8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0C3A3D9" w14:textId="77777777" w:rsidR="002D473A" w:rsidRPr="000F1261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Trafigura Denmark ApS</w:t>
            </w:r>
          </w:p>
        </w:tc>
        <w:tc>
          <w:tcPr>
            <w:tcW w:w="1134" w:type="dxa"/>
          </w:tcPr>
          <w:p w14:paraId="6C71677A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559B98E3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4D4516E7" w14:textId="77777777" w:rsidR="002D473A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2D473A" w14:paraId="7429E760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EEFF53E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YUSO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BV</w:t>
            </w:r>
          </w:p>
        </w:tc>
        <w:tc>
          <w:tcPr>
            <w:tcW w:w="1134" w:type="dxa"/>
          </w:tcPr>
          <w:p w14:paraId="76A01CD1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77E8132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4B2F645B" w14:textId="77777777" w:rsidR="002D473A" w:rsidRPr="00D36053" w:rsidRDefault="002D473A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</w:tbl>
    <w:p w14:paraId="5BEB85BF" w14:textId="47DF0A52" w:rsidR="00D36053" w:rsidRDefault="00D36053" w:rsidP="002D473A">
      <w:pPr>
        <w:widowControl/>
        <w:autoSpaceDE/>
        <w:autoSpaceDN/>
        <w:adjustRightInd/>
        <w:spacing w:after="200" w:line="240" w:lineRule="auto"/>
        <w:textAlignment w:val="auto"/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</w:pPr>
    </w:p>
    <w:p w14:paraId="7576CA73" w14:textId="4CDA7A6D" w:rsidR="00443C60" w:rsidRDefault="00D36053" w:rsidP="00D36053">
      <w:pPr>
        <w:widowControl/>
        <w:autoSpaceDE/>
        <w:autoSpaceDN/>
        <w:adjustRightInd/>
        <w:spacing w:after="200" w:line="240" w:lineRule="auto"/>
        <w:textAlignment w:val="auto"/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</w:pPr>
      <w:r w:rsidRPr="00D36053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 xml:space="preserve">Last updated: </w:t>
      </w:r>
      <w:r w:rsidR="002D473A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t>30 September 2025</w:t>
      </w:r>
    </w:p>
    <w:p w14:paraId="474A785B" w14:textId="47501174" w:rsidR="00386991" w:rsidRPr="007D6CD0" w:rsidRDefault="00D36053" w:rsidP="007D6CD0">
      <w:pPr>
        <w:widowControl/>
        <w:autoSpaceDE/>
        <w:autoSpaceDN/>
        <w:adjustRightInd/>
        <w:spacing w:after="200" w:line="240" w:lineRule="auto"/>
        <w:textAlignment w:val="auto"/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</w:pPr>
      <w:r w:rsidRPr="00D36053">
        <w:rPr>
          <w:rFonts w:ascii="Verdana" w:eastAsia="Times New Roman" w:hAnsi="Verdana" w:cs="Times New Roman"/>
          <w:color w:val="848484"/>
          <w:sz w:val="18"/>
          <w:szCs w:val="18"/>
          <w:lang w:val="en-US" w:eastAsia="nl-BE"/>
        </w:rPr>
        <w:br/>
        <w:t>Disclaimer: this list is non-exhaustive; publication of an entity’s participation in Elia’s product is optional.</w:t>
      </w:r>
    </w:p>
    <w:sectPr w:rsidR="00386991" w:rsidRPr="007D6CD0" w:rsidSect="002D473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53"/>
    <w:rsid w:val="00031F13"/>
    <w:rsid w:val="000B0284"/>
    <w:rsid w:val="000F1261"/>
    <w:rsid w:val="001706E2"/>
    <w:rsid w:val="002D473A"/>
    <w:rsid w:val="002E12FA"/>
    <w:rsid w:val="002E1E75"/>
    <w:rsid w:val="00386991"/>
    <w:rsid w:val="00443C60"/>
    <w:rsid w:val="005D2374"/>
    <w:rsid w:val="00702DAE"/>
    <w:rsid w:val="007D6CD0"/>
    <w:rsid w:val="007F2F7D"/>
    <w:rsid w:val="008269D9"/>
    <w:rsid w:val="008C3A65"/>
    <w:rsid w:val="00A57841"/>
    <w:rsid w:val="00AE1179"/>
    <w:rsid w:val="00B70C2E"/>
    <w:rsid w:val="00D36053"/>
    <w:rsid w:val="00DB2BA1"/>
    <w:rsid w:val="00F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0E62"/>
  <w15:chartTrackingRefBased/>
  <w15:docId w15:val="{B34868E6-886C-4E44-883B-A9E518C0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13"/>
    <w:pPr>
      <w:widowControl w:val="0"/>
      <w:autoSpaceDE w:val="0"/>
      <w:autoSpaceDN w:val="0"/>
      <w:adjustRightInd w:val="0"/>
      <w:spacing w:after="120" w:line="276" w:lineRule="auto"/>
      <w:textAlignment w:val="center"/>
    </w:pPr>
    <w:rPr>
      <w:rFonts w:ascii="Arial" w:eastAsiaTheme="minorEastAsia" w:hAnsi="Arial" w:cs="Arial"/>
      <w:color w:val="000000" w:themeColor="text1"/>
      <w:sz w:val="20"/>
      <w:lang w:val="nl-NL" w:eastAsia="nl-NL"/>
    </w:rPr>
  </w:style>
  <w:style w:type="paragraph" w:styleId="Heading2">
    <w:name w:val="heading 2"/>
    <w:basedOn w:val="Normal"/>
    <w:link w:val="Heading2Char"/>
    <w:uiPriority w:val="9"/>
    <w:qFormat/>
    <w:rsid w:val="00D36053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6053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lWeb">
    <w:name w:val="Normal (Web)"/>
    <w:basedOn w:val="Normal"/>
    <w:uiPriority w:val="99"/>
    <w:semiHidden/>
    <w:unhideWhenUsed/>
    <w:rsid w:val="00D36053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table" w:styleId="TableGrid">
    <w:name w:val="Table Grid"/>
    <w:basedOn w:val="TableNormal"/>
    <w:uiPriority w:val="39"/>
    <w:rsid w:val="00D3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2">
    <w:name w:val="Grid Table 4 Accent 2"/>
    <w:basedOn w:val="TableNormal"/>
    <w:uiPriority w:val="49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Elia Group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Aparicio Manuel</dc:creator>
  <cp:keywords/>
  <dc:description/>
  <cp:lastModifiedBy>Van Looveren Ben (EXT)</cp:lastModifiedBy>
  <cp:revision>4</cp:revision>
  <dcterms:created xsi:type="dcterms:W3CDTF">2025-04-24T06:54:00Z</dcterms:created>
  <dcterms:modified xsi:type="dcterms:W3CDTF">2025-09-30T13:46:00Z</dcterms:modified>
</cp:coreProperties>
</file>